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8E2DE">
      <w:pPr>
        <w:rPr>
          <w:color w:val="000000" w:themeColor="text1"/>
          <w:highlight w:val="none"/>
          <w14:textFill>
            <w14:solidFill>
              <w14:schemeClr w14:val="tx1"/>
            </w14:solidFill>
          </w14:textFill>
        </w:rPr>
      </w:pPr>
    </w:p>
    <w:p w14:paraId="2433557E">
      <w:pPr>
        <w:spacing w:before="120" w:after="120" w:line="360" w:lineRule="auto"/>
        <w:jc w:val="center"/>
        <w:rPr>
          <w:rFonts w:eastAsia="黑体"/>
          <w:b/>
          <w:bCs/>
          <w:color w:val="000000" w:themeColor="text1"/>
          <w:sz w:val="84"/>
          <w:szCs w:val="24"/>
          <w:highlight w:val="none"/>
          <w14:textFill>
            <w14:solidFill>
              <w14:schemeClr w14:val="tx1"/>
            </w14:solidFill>
          </w14:textFill>
        </w:rPr>
      </w:pPr>
      <w:bookmarkStart w:id="0" w:name="_Toc179"/>
    </w:p>
    <w:p w14:paraId="6E25D6A8">
      <w:pPr>
        <w:spacing w:before="120" w:after="120" w:line="360" w:lineRule="auto"/>
        <w:jc w:val="center"/>
        <w:outlineLvl w:val="0"/>
        <w:rPr>
          <w:rFonts w:eastAsia="黑体"/>
          <w:b/>
          <w:bCs/>
          <w:color w:val="000000" w:themeColor="text1"/>
          <w:sz w:val="84"/>
          <w:szCs w:val="24"/>
          <w:highlight w:val="none"/>
          <w14:textFill>
            <w14:solidFill>
              <w14:schemeClr w14:val="tx1"/>
            </w14:solidFill>
          </w14:textFill>
        </w:rPr>
      </w:pPr>
      <w:bookmarkStart w:id="1" w:name="_Toc9614"/>
      <w:bookmarkStart w:id="2" w:name="_Toc25819"/>
      <w:bookmarkStart w:id="3" w:name="_Toc32674"/>
      <w:bookmarkStart w:id="4" w:name="_Toc12846"/>
      <w:r>
        <w:rPr>
          <w:rFonts w:hint="eastAsia" w:eastAsia="黑体"/>
          <w:b/>
          <w:bCs/>
          <w:color w:val="000000" w:themeColor="text1"/>
          <w:sz w:val="84"/>
          <w:szCs w:val="24"/>
          <w:highlight w:val="none"/>
          <w14:textFill>
            <w14:solidFill>
              <w14:schemeClr w14:val="tx1"/>
            </w14:solidFill>
          </w14:textFill>
        </w:rPr>
        <w:t>竞争性磋商文件</w:t>
      </w:r>
      <w:bookmarkEnd w:id="0"/>
      <w:bookmarkEnd w:id="1"/>
      <w:bookmarkEnd w:id="2"/>
      <w:bookmarkEnd w:id="3"/>
      <w:bookmarkEnd w:id="4"/>
    </w:p>
    <w:p w14:paraId="6759F7D7">
      <w:pPr>
        <w:spacing w:before="120" w:after="120" w:line="360" w:lineRule="auto"/>
        <w:jc w:val="center"/>
        <w:rPr>
          <w:b/>
          <w:bCs/>
          <w:color w:val="000000" w:themeColor="text1"/>
          <w:sz w:val="32"/>
          <w:szCs w:val="24"/>
          <w:highlight w:val="none"/>
          <w14:textFill>
            <w14:solidFill>
              <w14:schemeClr w14:val="tx1"/>
            </w14:solidFill>
          </w14:textFill>
        </w:rPr>
      </w:pPr>
      <w:r>
        <w:rPr>
          <w:rFonts w:hint="eastAsia"/>
          <w:b/>
          <w:bCs/>
          <w:color w:val="000000" w:themeColor="text1"/>
          <w:sz w:val="32"/>
          <w:szCs w:val="24"/>
          <w:highlight w:val="none"/>
          <w14:textFill>
            <w14:solidFill>
              <w14:schemeClr w14:val="tx1"/>
            </w14:solidFill>
          </w14:textFill>
        </w:rPr>
        <w:t>项目名称：</w:t>
      </w:r>
      <w:r>
        <w:rPr>
          <w:rFonts w:hint="eastAsia"/>
          <w:b/>
          <w:bCs/>
          <w:color w:val="000000" w:themeColor="text1"/>
          <w:sz w:val="32"/>
          <w:szCs w:val="24"/>
          <w:highlight w:val="none"/>
          <w:u w:val="single"/>
          <w14:textFill>
            <w14:solidFill>
              <w14:schemeClr w14:val="tx1"/>
            </w14:solidFill>
          </w14:textFill>
        </w:rPr>
        <w:t>沭阳公路超限检测站预检系统改造</w:t>
      </w:r>
    </w:p>
    <w:p w14:paraId="72BF4F7E">
      <w:pPr>
        <w:spacing w:before="120" w:after="120" w:line="360" w:lineRule="auto"/>
        <w:ind w:firstLine="1606"/>
        <w:jc w:val="left"/>
        <w:outlineLvl w:val="0"/>
        <w:rPr>
          <w:b/>
          <w:bCs/>
          <w:color w:val="000000" w:themeColor="text1"/>
          <w:sz w:val="32"/>
          <w:szCs w:val="24"/>
          <w:highlight w:val="none"/>
          <w14:textFill>
            <w14:solidFill>
              <w14:schemeClr w14:val="tx1"/>
            </w14:solidFill>
          </w14:textFill>
        </w:rPr>
      </w:pPr>
      <w:bookmarkStart w:id="5" w:name="_Toc10335"/>
      <w:bookmarkStart w:id="6" w:name="_Toc3209"/>
      <w:bookmarkStart w:id="7" w:name="_Toc19993"/>
      <w:bookmarkStart w:id="8" w:name="_Toc12725"/>
      <w:bookmarkStart w:id="9" w:name="_Toc2856"/>
      <w:r>
        <w:rPr>
          <w:rFonts w:hint="eastAsia"/>
          <w:b/>
          <w:bCs/>
          <w:color w:val="000000" w:themeColor="text1"/>
          <w:sz w:val="32"/>
          <w:szCs w:val="24"/>
          <w:highlight w:val="none"/>
          <w14:textFill>
            <w14:solidFill>
              <w14:schemeClr w14:val="tx1"/>
            </w14:solidFill>
          </w14:textFill>
        </w:rPr>
        <w:t>项目编号：</w:t>
      </w:r>
      <w:bookmarkEnd w:id="5"/>
      <w:bookmarkEnd w:id="6"/>
      <w:r>
        <w:rPr>
          <w:rFonts w:hint="eastAsia"/>
          <w:b/>
          <w:bCs/>
          <w:color w:val="000000" w:themeColor="text1"/>
          <w:sz w:val="32"/>
          <w:szCs w:val="24"/>
          <w:highlight w:val="none"/>
          <w14:textFill>
            <w14:solidFill>
              <w14:schemeClr w14:val="tx1"/>
            </w14:solidFill>
          </w14:textFill>
        </w:rPr>
        <w:t>JSZC-</w:t>
      </w:r>
      <w:bookmarkEnd w:id="7"/>
      <w:bookmarkEnd w:id="8"/>
      <w:bookmarkEnd w:id="9"/>
    </w:p>
    <w:p w14:paraId="25B7CEFF">
      <w:pPr>
        <w:spacing w:before="120" w:after="120" w:line="360" w:lineRule="auto"/>
        <w:ind w:firstLine="1285"/>
        <w:jc w:val="left"/>
        <w:rPr>
          <w:b/>
          <w:color w:val="000000" w:themeColor="text1"/>
          <w:sz w:val="30"/>
          <w:szCs w:val="30"/>
          <w:highlight w:val="none"/>
          <w14:textFill>
            <w14:solidFill>
              <w14:schemeClr w14:val="tx1"/>
            </w14:solidFill>
          </w14:textFill>
        </w:rPr>
      </w:pPr>
      <w:r>
        <w:rPr>
          <w:rFonts w:hint="eastAsia"/>
          <w:b/>
          <w:bCs/>
          <w:color w:val="000000" w:themeColor="text1"/>
          <w:sz w:val="32"/>
          <w:szCs w:val="24"/>
          <w:highlight w:val="none"/>
          <w14:textFill>
            <w14:solidFill>
              <w14:schemeClr w14:val="tx1"/>
            </w14:solidFill>
          </w14:textFill>
        </w:rPr>
        <w:t>（</w:t>
      </w:r>
      <w:r>
        <w:rPr>
          <w:rFonts w:hint="eastAsia"/>
          <w:b/>
          <w:bCs/>
          <w:color w:val="000000" w:themeColor="text1"/>
          <w:sz w:val="32"/>
          <w:szCs w:val="24"/>
          <w:highlight w:val="none"/>
          <w:u w:val="single"/>
          <w14:textFill>
            <w14:solidFill>
              <w14:schemeClr w14:val="tx1"/>
            </w14:solidFill>
          </w14:textFill>
        </w:rPr>
        <w:t xml:space="preserve"> 工程 </w:t>
      </w:r>
      <w:r>
        <w:rPr>
          <w:rFonts w:hint="eastAsia"/>
          <w:b/>
          <w:bCs/>
          <w:color w:val="000000" w:themeColor="text1"/>
          <w:sz w:val="32"/>
          <w:szCs w:val="24"/>
          <w:highlight w:val="none"/>
          <w14:textFill>
            <w14:solidFill>
              <w14:schemeClr w14:val="tx1"/>
            </w14:solidFill>
          </w14:textFill>
        </w:rPr>
        <w:t>类项目，</w:t>
      </w:r>
      <w:r>
        <w:rPr>
          <w:rFonts w:hint="eastAsia"/>
          <w:b/>
          <w:bCs/>
          <w:color w:val="000000" w:themeColor="text1"/>
          <w:sz w:val="32"/>
          <w:szCs w:val="24"/>
          <w:highlight w:val="none"/>
          <w:u w:val="single"/>
          <w14:textFill>
            <w14:solidFill>
              <w14:schemeClr w14:val="tx1"/>
            </w14:solidFill>
          </w14:textFill>
        </w:rPr>
        <w:t xml:space="preserve"> 是 </w:t>
      </w:r>
      <w:r>
        <w:rPr>
          <w:rFonts w:hint="eastAsia"/>
          <w:b/>
          <w:bCs/>
          <w:color w:val="000000" w:themeColor="text1"/>
          <w:sz w:val="32"/>
          <w:szCs w:val="24"/>
          <w:highlight w:val="none"/>
          <w14:textFill>
            <w14:solidFill>
              <w14:schemeClr w14:val="tx1"/>
            </w14:solidFill>
          </w14:textFill>
        </w:rPr>
        <w:t>专门面向中小企业）</w:t>
      </w:r>
    </w:p>
    <w:p w14:paraId="1310278B">
      <w:pPr>
        <w:spacing w:line="360" w:lineRule="auto"/>
        <w:jc w:val="left"/>
        <w:rPr>
          <w:color w:val="000000" w:themeColor="text1"/>
          <w:sz w:val="24"/>
          <w:szCs w:val="24"/>
          <w:highlight w:val="none"/>
          <w14:textFill>
            <w14:solidFill>
              <w14:schemeClr w14:val="tx1"/>
            </w14:solidFill>
          </w14:textFill>
        </w:rPr>
      </w:pPr>
    </w:p>
    <w:p w14:paraId="2D2166FC">
      <w:pPr>
        <w:spacing w:line="360" w:lineRule="auto"/>
        <w:jc w:val="left"/>
        <w:rPr>
          <w:color w:val="000000" w:themeColor="text1"/>
          <w:sz w:val="24"/>
          <w:szCs w:val="24"/>
          <w:highlight w:val="none"/>
          <w14:textFill>
            <w14:solidFill>
              <w14:schemeClr w14:val="tx1"/>
            </w14:solidFill>
          </w14:textFill>
        </w:rPr>
      </w:pPr>
    </w:p>
    <w:p w14:paraId="400FAC79">
      <w:pPr>
        <w:spacing w:line="360" w:lineRule="auto"/>
        <w:jc w:val="left"/>
        <w:rPr>
          <w:color w:val="000000" w:themeColor="text1"/>
          <w:sz w:val="24"/>
          <w:szCs w:val="24"/>
          <w:highlight w:val="none"/>
          <w14:textFill>
            <w14:solidFill>
              <w14:schemeClr w14:val="tx1"/>
            </w14:solidFill>
          </w14:textFill>
        </w:rPr>
      </w:pPr>
    </w:p>
    <w:p w14:paraId="0421B2B8">
      <w:pPr>
        <w:spacing w:line="360" w:lineRule="auto"/>
        <w:jc w:val="left"/>
        <w:rPr>
          <w:color w:val="000000" w:themeColor="text1"/>
          <w:sz w:val="24"/>
          <w:szCs w:val="24"/>
          <w:highlight w:val="none"/>
          <w14:textFill>
            <w14:solidFill>
              <w14:schemeClr w14:val="tx1"/>
            </w14:solidFill>
          </w14:textFill>
        </w:rPr>
      </w:pPr>
    </w:p>
    <w:p w14:paraId="71E10875">
      <w:pPr>
        <w:spacing w:line="360" w:lineRule="auto"/>
        <w:jc w:val="left"/>
        <w:rPr>
          <w:color w:val="000000" w:themeColor="text1"/>
          <w:sz w:val="24"/>
          <w:szCs w:val="24"/>
          <w:highlight w:val="none"/>
          <w14:textFill>
            <w14:solidFill>
              <w14:schemeClr w14:val="tx1"/>
            </w14:solidFill>
          </w14:textFill>
        </w:rPr>
      </w:pPr>
    </w:p>
    <w:p w14:paraId="3AC5C388">
      <w:pPr>
        <w:spacing w:line="360" w:lineRule="auto"/>
        <w:jc w:val="left"/>
        <w:rPr>
          <w:color w:val="000000" w:themeColor="text1"/>
          <w:sz w:val="24"/>
          <w:szCs w:val="24"/>
          <w:highlight w:val="none"/>
          <w14:textFill>
            <w14:solidFill>
              <w14:schemeClr w14:val="tx1"/>
            </w14:solidFill>
          </w14:textFill>
        </w:rPr>
      </w:pPr>
    </w:p>
    <w:p w14:paraId="0F098980">
      <w:pPr>
        <w:spacing w:line="360" w:lineRule="auto"/>
        <w:jc w:val="left"/>
        <w:rPr>
          <w:color w:val="000000" w:themeColor="text1"/>
          <w:sz w:val="24"/>
          <w:szCs w:val="24"/>
          <w:highlight w:val="none"/>
          <w14:textFill>
            <w14:solidFill>
              <w14:schemeClr w14:val="tx1"/>
            </w14:solidFill>
          </w14:textFill>
        </w:rPr>
      </w:pPr>
    </w:p>
    <w:p w14:paraId="642CE4E7">
      <w:pPr>
        <w:pStyle w:val="25"/>
        <w:jc w:val="both"/>
        <w:outlineLvl w:val="0"/>
        <w:rPr>
          <w:rFonts w:ascii="Times New Roman" w:hAnsi="Times New Roman"/>
          <w:b/>
          <w:bCs/>
          <w:color w:val="000000" w:themeColor="text1"/>
          <w:sz w:val="32"/>
          <w:highlight w:val="none"/>
          <w:u w:val="single"/>
          <w14:textFill>
            <w14:solidFill>
              <w14:schemeClr w14:val="tx1"/>
            </w14:solidFill>
          </w14:textFill>
        </w:rPr>
      </w:pPr>
      <w:bookmarkStart w:id="10" w:name="_Toc12045"/>
      <w:bookmarkStart w:id="11" w:name="_Toc5776"/>
      <w:bookmarkStart w:id="12" w:name="_Toc18420"/>
      <w:bookmarkStart w:id="13" w:name="_Toc12205"/>
      <w:bookmarkStart w:id="14" w:name="_Toc27877"/>
      <w:r>
        <w:rPr>
          <w:rFonts w:hint="eastAsia" w:ascii="Times New Roman" w:hAnsi="Times New Roman"/>
          <w:b/>
          <w:bCs/>
          <w:color w:val="000000" w:themeColor="text1"/>
          <w:sz w:val="32"/>
          <w:highlight w:val="none"/>
          <w14:textFill>
            <w14:solidFill>
              <w14:schemeClr w14:val="tx1"/>
            </w14:solidFill>
          </w14:textFill>
        </w:rPr>
        <w:t>采购人：</w:t>
      </w:r>
      <w:bookmarkEnd w:id="10"/>
      <w:bookmarkEnd w:id="11"/>
      <w:r>
        <w:rPr>
          <w:rFonts w:hint="eastAsia" w:ascii="Times New Roman" w:hAnsi="Times New Roman"/>
          <w:b/>
          <w:bCs/>
          <w:color w:val="000000" w:themeColor="text1"/>
          <w:sz w:val="32"/>
          <w:highlight w:val="none"/>
          <w:u w:val="single"/>
          <w14:textFill>
            <w14:solidFill>
              <w14:schemeClr w14:val="tx1"/>
            </w14:solidFill>
          </w14:textFill>
        </w:rPr>
        <w:t>宿迁市公路事业发展中心</w:t>
      </w:r>
      <w:bookmarkEnd w:id="12"/>
      <w:bookmarkEnd w:id="13"/>
      <w:bookmarkEnd w:id="14"/>
    </w:p>
    <w:p w14:paraId="04A43CFA">
      <w:pPr>
        <w:pStyle w:val="25"/>
        <w:jc w:val="both"/>
        <w:rPr>
          <w:rFonts w:hint="eastAsia" w:ascii="Times New Roman" w:hAnsi="Times New Roman" w:eastAsia="宋体"/>
          <w:b/>
          <w:bCs/>
          <w:color w:val="000000" w:themeColor="text1"/>
          <w:sz w:val="32"/>
          <w:highlight w:val="none"/>
          <w:lang w:val="en-US" w:eastAsia="zh-CN"/>
          <w14:textFill>
            <w14:solidFill>
              <w14:schemeClr w14:val="tx1"/>
            </w14:solidFill>
          </w14:textFill>
        </w:rPr>
      </w:pPr>
      <w:r>
        <w:rPr>
          <w:rFonts w:hint="eastAsia" w:ascii="Times New Roman" w:hAnsi="Times New Roman"/>
          <w:b/>
          <w:bCs/>
          <w:color w:val="000000" w:themeColor="text1"/>
          <w:sz w:val="32"/>
          <w:highlight w:val="none"/>
          <w:lang w:val="en-US" w:eastAsia="zh-CN"/>
          <w14:textFill>
            <w14:solidFill>
              <w14:schemeClr w14:val="tx1"/>
            </w14:solidFill>
          </w14:textFill>
        </w:rPr>
        <w:t>管理人：</w:t>
      </w:r>
      <w:r>
        <w:rPr>
          <w:rFonts w:hint="eastAsia" w:ascii="Times New Roman" w:hAnsi="Times New Roman"/>
          <w:b/>
          <w:bCs/>
          <w:color w:val="000000" w:themeColor="text1"/>
          <w:sz w:val="32"/>
          <w:highlight w:val="none"/>
          <w:u w:val="single"/>
          <w:lang w:val="en-US" w:eastAsia="zh-CN"/>
          <w14:textFill>
            <w14:solidFill>
              <w14:schemeClr w14:val="tx1"/>
            </w14:solidFill>
          </w14:textFill>
        </w:rPr>
        <w:t>宿迁市交通运输综合行政执法支队</w:t>
      </w:r>
    </w:p>
    <w:p w14:paraId="68D24ED1">
      <w:pPr>
        <w:pStyle w:val="25"/>
        <w:jc w:val="both"/>
        <w:rPr>
          <w:rFonts w:ascii="Times New Roman" w:hAnsi="Times New Roman"/>
          <w:b/>
          <w:bCs/>
          <w:color w:val="000000" w:themeColor="text1"/>
          <w:sz w:val="32"/>
          <w:highlight w:val="none"/>
          <w:u w:val="single"/>
          <w14:textFill>
            <w14:solidFill>
              <w14:schemeClr w14:val="tx1"/>
            </w14:solidFill>
          </w14:textFill>
        </w:rPr>
      </w:pPr>
      <w:r>
        <w:rPr>
          <w:rFonts w:hint="eastAsia" w:ascii="Times New Roman" w:hAnsi="Times New Roman"/>
          <w:b/>
          <w:bCs/>
          <w:color w:val="000000" w:themeColor="text1"/>
          <w:sz w:val="32"/>
          <w:highlight w:val="none"/>
          <w14:textFill>
            <w14:solidFill>
              <w14:schemeClr w14:val="tx1"/>
            </w14:solidFill>
          </w14:textFill>
        </w:rPr>
        <w:t>采购代理机构：</w:t>
      </w:r>
      <w:r>
        <w:rPr>
          <w:rFonts w:hint="eastAsia" w:ascii="Times New Roman" w:hAnsi="Times New Roman"/>
          <w:b/>
          <w:bCs/>
          <w:color w:val="000000" w:themeColor="text1"/>
          <w:sz w:val="32"/>
          <w:highlight w:val="none"/>
          <w:u w:val="single"/>
          <w14:textFill>
            <w14:solidFill>
              <w14:schemeClr w14:val="tx1"/>
            </w14:solidFill>
          </w14:textFill>
        </w:rPr>
        <w:t>江苏天业工程咨询房地产估价有限责任公司</w:t>
      </w:r>
    </w:p>
    <w:p w14:paraId="5805E852">
      <w:pPr>
        <w:pStyle w:val="25"/>
        <w:ind w:firstLine="2570"/>
        <w:jc w:val="both"/>
        <w:rPr>
          <w:rFonts w:ascii="Times New Roman" w:hAnsi="Times New Roman"/>
          <w:b/>
          <w:bCs/>
          <w:color w:val="000000" w:themeColor="text1"/>
          <w:sz w:val="32"/>
          <w:highlight w:val="none"/>
          <w14:textFill>
            <w14:solidFill>
              <w14:schemeClr w14:val="tx1"/>
            </w14:solidFill>
          </w14:textFill>
        </w:rPr>
      </w:pPr>
      <w:r>
        <w:rPr>
          <w:rFonts w:hint="eastAsia" w:ascii="Times New Roman" w:hAnsi="Times New Roman"/>
          <w:b/>
          <w:bCs/>
          <w:color w:val="000000" w:themeColor="text1"/>
          <w:sz w:val="32"/>
          <w:highlight w:val="none"/>
          <w:u w:val="single"/>
          <w14:textFill>
            <w14:solidFill>
              <w14:schemeClr w14:val="tx1"/>
            </w14:solidFill>
          </w14:textFill>
        </w:rPr>
        <w:t>2025</w:t>
      </w:r>
      <w:r>
        <w:rPr>
          <w:rFonts w:hint="eastAsia" w:ascii="Times New Roman" w:hAnsi="Times New Roman"/>
          <w:b/>
          <w:bCs/>
          <w:color w:val="000000" w:themeColor="text1"/>
          <w:sz w:val="32"/>
          <w:highlight w:val="none"/>
          <w14:textFill>
            <w14:solidFill>
              <w14:schemeClr w14:val="tx1"/>
            </w14:solidFill>
          </w14:textFill>
        </w:rPr>
        <w:t>年</w:t>
      </w:r>
      <w:r>
        <w:rPr>
          <w:rFonts w:hint="eastAsia" w:ascii="Times New Roman" w:hAnsi="Times New Roman"/>
          <w:b/>
          <w:bCs/>
          <w:color w:val="000000" w:themeColor="text1"/>
          <w:sz w:val="32"/>
          <w:highlight w:val="none"/>
          <w:u w:val="single"/>
          <w:lang w:val="en-US" w:eastAsia="zh-CN"/>
          <w14:textFill>
            <w14:solidFill>
              <w14:schemeClr w14:val="tx1"/>
            </w14:solidFill>
          </w14:textFill>
        </w:rPr>
        <w:t xml:space="preserve">  </w:t>
      </w:r>
      <w:r>
        <w:rPr>
          <w:rFonts w:hint="eastAsia" w:ascii="Times New Roman" w:hAnsi="Times New Roman"/>
          <w:b/>
          <w:bCs/>
          <w:color w:val="000000" w:themeColor="text1"/>
          <w:sz w:val="32"/>
          <w:highlight w:val="none"/>
          <w14:textFill>
            <w14:solidFill>
              <w14:schemeClr w14:val="tx1"/>
            </w14:solidFill>
          </w14:textFill>
        </w:rPr>
        <w:t>月</w:t>
      </w:r>
      <w:r>
        <w:rPr>
          <w:rFonts w:hint="eastAsia" w:ascii="Times New Roman" w:hAnsi="Times New Roman"/>
          <w:b/>
          <w:bCs/>
          <w:color w:val="000000" w:themeColor="text1"/>
          <w:sz w:val="32"/>
          <w:highlight w:val="none"/>
          <w:lang w:val="en-US" w:eastAsia="zh-CN"/>
          <w14:textFill>
            <w14:solidFill>
              <w14:schemeClr w14:val="tx1"/>
            </w14:solidFill>
          </w14:textFill>
        </w:rPr>
        <w:t xml:space="preserve"> </w:t>
      </w:r>
      <w:r>
        <w:rPr>
          <w:rFonts w:hint="eastAsia" w:ascii="Times New Roman" w:hAnsi="Times New Roman"/>
          <w:b/>
          <w:bCs/>
          <w:color w:val="000000" w:themeColor="text1"/>
          <w:sz w:val="32"/>
          <w:highlight w:val="none"/>
          <w14:textFill>
            <w14:solidFill>
              <w14:schemeClr w14:val="tx1"/>
            </w14:solidFill>
          </w14:textFill>
        </w:rPr>
        <w:t>日</w:t>
      </w:r>
    </w:p>
    <w:p w14:paraId="6539FBBC">
      <w:pPr>
        <w:spacing w:before="120" w:after="120" w:line="360" w:lineRule="auto"/>
        <w:jc w:val="left"/>
        <w:rPr>
          <w:color w:val="000000" w:themeColor="text1"/>
          <w:sz w:val="24"/>
          <w:szCs w:val="24"/>
          <w:highlight w:val="none"/>
          <w:u w:val="single"/>
          <w14:textFill>
            <w14:solidFill>
              <w14:schemeClr w14:val="tx1"/>
            </w14:solidFill>
          </w14:textFill>
        </w:rPr>
      </w:pPr>
    </w:p>
    <w:p w14:paraId="0F583A30">
      <w:pPr>
        <w:spacing w:before="120" w:after="120" w:line="360" w:lineRule="auto"/>
        <w:jc w:val="center"/>
        <w:rPr>
          <w:color w:val="000000" w:themeColor="text1"/>
          <w:sz w:val="24"/>
          <w:szCs w:val="24"/>
          <w:highlight w:val="none"/>
          <w14:textFill>
            <w14:solidFill>
              <w14:schemeClr w14:val="tx1"/>
            </w14:solidFill>
          </w14:textFill>
        </w:rPr>
      </w:pPr>
    </w:p>
    <w:p w14:paraId="75CE691E">
      <w:pPr>
        <w:spacing w:line="480" w:lineRule="auto"/>
        <w:jc w:val="center"/>
        <w:rPr>
          <w:rFonts w:eastAsia="黑体"/>
          <w:b/>
          <w:color w:val="000000" w:themeColor="text1"/>
          <w:sz w:val="44"/>
          <w:szCs w:val="21"/>
          <w:highlight w:val="none"/>
          <w14:textFill>
            <w14:solidFill>
              <w14:schemeClr w14:val="tx1"/>
            </w14:solidFill>
          </w14:textFill>
        </w:rPr>
        <w:sectPr>
          <w:headerReference r:id="rId3" w:type="default"/>
          <w:footerReference r:id="rId5" w:type="default"/>
          <w:headerReference r:id="rId4" w:type="even"/>
          <w:footerReference r:id="rId6" w:type="even"/>
          <w:pgSz w:w="11906" w:h="16838"/>
          <w:pgMar w:top="1440" w:right="1080" w:bottom="1440" w:left="1080" w:header="851" w:footer="907" w:gutter="0"/>
          <w:cols w:space="1701" w:num="1"/>
          <w:titlePg/>
          <w:docGrid w:linePitch="360" w:charSpace="0"/>
        </w:sectPr>
      </w:pPr>
      <w:bookmarkStart w:id="15" w:name="_Toc30161"/>
      <w:bookmarkStart w:id="16" w:name="_Toc120614210"/>
      <w:bookmarkStart w:id="17" w:name="_Toc20823272"/>
      <w:bookmarkStart w:id="18" w:name="_Toc16938516"/>
      <w:bookmarkStart w:id="19" w:name="_Toc523127445"/>
      <w:bookmarkStart w:id="20" w:name="_Toc513029200"/>
      <w:bookmarkStart w:id="21" w:name="_Toc479757206"/>
    </w:p>
    <w:p w14:paraId="6116A27D">
      <w:pPr>
        <w:spacing w:line="480" w:lineRule="auto"/>
        <w:jc w:val="center"/>
        <w:rPr>
          <w:rFonts w:eastAsia="黑体"/>
          <w:b/>
          <w:color w:val="000000" w:themeColor="text1"/>
          <w:sz w:val="44"/>
          <w:szCs w:val="21"/>
          <w:highlight w:val="none"/>
          <w14:textFill>
            <w14:solidFill>
              <w14:schemeClr w14:val="tx1"/>
            </w14:solidFill>
          </w14:textFill>
        </w:rPr>
      </w:pPr>
      <w:bookmarkStart w:id="22" w:name="_Toc6597"/>
      <w:r>
        <w:rPr>
          <w:rFonts w:hint="eastAsia" w:eastAsia="黑体"/>
          <w:b/>
          <w:color w:val="000000" w:themeColor="text1"/>
          <w:sz w:val="44"/>
          <w:szCs w:val="21"/>
          <w:highlight w:val="none"/>
          <w14:textFill>
            <w14:solidFill>
              <w14:schemeClr w14:val="tx1"/>
            </w14:solidFill>
          </w14:textFill>
        </w:rPr>
        <w:t>目 录</w:t>
      </w:r>
      <w:bookmarkEnd w:id="15"/>
      <w:bookmarkEnd w:id="22"/>
    </w:p>
    <w:p w14:paraId="20AA49B9">
      <w:pPr>
        <w:pStyle w:val="11"/>
        <w:tabs>
          <w:tab w:val="right" w:leader="dot" w:pos="9746"/>
        </w:tabs>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fldChar w:fldCharType="begin"/>
      </w:r>
      <w:r>
        <w:rPr>
          <w:rFonts w:hint="eastAsia"/>
          <w:color w:val="000000" w:themeColor="text1"/>
          <w:szCs w:val="21"/>
          <w:highlight w:val="none"/>
          <w14:textFill>
            <w14:solidFill>
              <w14:schemeClr w14:val="tx1"/>
            </w14:solidFill>
          </w14:textFill>
        </w:rPr>
        <w:instrText xml:space="preserve">TOC \o "1-1" \h \u </w:instrText>
      </w:r>
      <w:r>
        <w:rPr>
          <w:rFonts w:hint="eastAsia"/>
          <w:color w:val="000000" w:themeColor="text1"/>
          <w:szCs w:val="21"/>
          <w:highlight w:val="none"/>
          <w14:textFill>
            <w14:solidFill>
              <w14:schemeClr w14:val="tx1"/>
            </w14:solidFill>
          </w14:textFill>
        </w:rPr>
        <w:fldChar w:fldCharType="separate"/>
      </w:r>
    </w:p>
    <w:p w14:paraId="3A736382">
      <w:pPr>
        <w:pStyle w:val="11"/>
        <w:tabs>
          <w:tab w:val="right" w:leader="dot" w:pos="9746"/>
        </w:tabs>
        <w:spacing w:line="360" w:lineRule="auto"/>
        <w:rPr>
          <w:rFonts w:ascii="宋体" w:hAnsi="宋体" w:cs="宋体"/>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"_Toc22033"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第一章  磋商邀请</w:t>
      </w:r>
      <w:r>
        <w:rPr>
          <w:rFonts w:hint="eastAsia" w:ascii="宋体" w:hAnsi="宋体" w:cs="宋体"/>
          <w:b/>
          <w:bCs/>
          <w:color w:val="000000" w:themeColor="text1"/>
          <w:sz w:val="28"/>
          <w:szCs w:val="28"/>
          <w:highlight w:val="none"/>
          <w14:textFill>
            <w14:solidFill>
              <w14:schemeClr w14:val="tx1"/>
            </w14:solidFill>
          </w14:textFill>
        </w:rPr>
        <w:tab/>
      </w:r>
      <w:r>
        <w:rPr>
          <w:rFonts w:hint="eastAsia" w:ascii="宋体" w:hAnsi="宋体" w:cs="宋体"/>
          <w:b/>
          <w:bCs/>
          <w:color w:val="000000" w:themeColor="text1"/>
          <w:sz w:val="28"/>
          <w:szCs w:val="28"/>
          <w:highlight w:val="none"/>
          <w14:textFill>
            <w14:solidFill>
              <w14:schemeClr w14:val="tx1"/>
            </w14:solidFill>
          </w14:textFill>
        </w:rPr>
        <w:fldChar w:fldCharType="begin"/>
      </w:r>
      <w:r>
        <w:rPr>
          <w:rFonts w:hint="eastAsia" w:ascii="宋体" w:hAnsi="宋体" w:cs="宋体"/>
          <w:b/>
          <w:bCs/>
          <w:color w:val="000000" w:themeColor="text1"/>
          <w:sz w:val="28"/>
          <w:szCs w:val="28"/>
          <w:highlight w:val="none"/>
          <w14:textFill>
            <w14:solidFill>
              <w14:schemeClr w14:val="tx1"/>
            </w14:solidFill>
          </w14:textFill>
        </w:rPr>
        <w:instrText xml:space="preserve"> PAGEREF _Toc22033 \h </w:instrText>
      </w:r>
      <w:r>
        <w:rPr>
          <w:rFonts w:hint="eastAsia" w:ascii="宋体" w:hAnsi="宋体" w:cs="宋体"/>
          <w:b/>
          <w:bCs/>
          <w:color w:val="000000" w:themeColor="text1"/>
          <w:sz w:val="28"/>
          <w:szCs w:val="28"/>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1</w:t>
      </w:r>
      <w:r>
        <w:rPr>
          <w:rFonts w:hint="eastAsia" w:ascii="宋体" w:hAnsi="宋体" w:cs="宋体"/>
          <w:b/>
          <w:bCs/>
          <w:color w:val="000000" w:themeColor="text1"/>
          <w:sz w:val="28"/>
          <w:szCs w:val="28"/>
          <w:highlight w:val="none"/>
          <w14:textFill>
            <w14:solidFill>
              <w14:schemeClr w14:val="tx1"/>
            </w14:solidFill>
          </w14:textFill>
        </w:rPr>
        <w:fldChar w:fldCharType="end"/>
      </w:r>
      <w:r>
        <w:rPr>
          <w:rFonts w:hint="eastAsia" w:ascii="宋体" w:hAnsi="宋体" w:cs="宋体"/>
          <w:b/>
          <w:bCs/>
          <w:color w:val="000000" w:themeColor="text1"/>
          <w:sz w:val="28"/>
          <w:szCs w:val="28"/>
          <w:highlight w:val="none"/>
          <w14:textFill>
            <w14:solidFill>
              <w14:schemeClr w14:val="tx1"/>
            </w14:solidFill>
          </w14:textFill>
        </w:rPr>
        <w:fldChar w:fldCharType="end"/>
      </w:r>
    </w:p>
    <w:p w14:paraId="2BDCA4ED">
      <w:pPr>
        <w:pStyle w:val="11"/>
        <w:tabs>
          <w:tab w:val="right" w:leader="dot" w:pos="9746"/>
        </w:tabs>
        <w:spacing w:line="360" w:lineRule="auto"/>
        <w:rPr>
          <w:rFonts w:ascii="宋体" w:hAnsi="宋体" w:cs="宋体"/>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"_Toc11066"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第二章  供应商须知</w:t>
      </w:r>
      <w:bookmarkStart w:id="258" w:name="_GoBack"/>
      <w:bookmarkEnd w:id="258"/>
      <w:r>
        <w:rPr>
          <w:rFonts w:hint="eastAsia" w:ascii="宋体" w:hAnsi="宋体" w:cs="宋体"/>
          <w:b/>
          <w:bCs/>
          <w:color w:val="000000" w:themeColor="text1"/>
          <w:sz w:val="28"/>
          <w:szCs w:val="28"/>
          <w:highlight w:val="none"/>
          <w14:textFill>
            <w14:solidFill>
              <w14:schemeClr w14:val="tx1"/>
            </w14:solidFill>
          </w14:textFill>
        </w:rPr>
        <w:tab/>
      </w:r>
      <w:r>
        <w:rPr>
          <w:rFonts w:hint="eastAsia" w:ascii="宋体" w:hAnsi="宋体" w:cs="宋体"/>
          <w:b/>
          <w:bCs/>
          <w:color w:val="000000" w:themeColor="text1"/>
          <w:sz w:val="28"/>
          <w:szCs w:val="28"/>
          <w:highlight w:val="none"/>
          <w14:textFill>
            <w14:solidFill>
              <w14:schemeClr w14:val="tx1"/>
            </w14:solidFill>
          </w14:textFill>
        </w:rPr>
        <w:fldChar w:fldCharType="begin"/>
      </w:r>
      <w:r>
        <w:rPr>
          <w:rFonts w:hint="eastAsia" w:ascii="宋体" w:hAnsi="宋体" w:cs="宋体"/>
          <w:b/>
          <w:bCs/>
          <w:color w:val="000000" w:themeColor="text1"/>
          <w:sz w:val="28"/>
          <w:szCs w:val="28"/>
          <w:highlight w:val="none"/>
          <w14:textFill>
            <w14:solidFill>
              <w14:schemeClr w14:val="tx1"/>
            </w14:solidFill>
          </w14:textFill>
        </w:rPr>
        <w:instrText xml:space="preserve"> PAGEREF _Toc11066 \h </w:instrText>
      </w:r>
      <w:r>
        <w:rPr>
          <w:rFonts w:hint="eastAsia" w:ascii="宋体" w:hAnsi="宋体" w:cs="宋体"/>
          <w:b/>
          <w:bCs/>
          <w:color w:val="000000" w:themeColor="text1"/>
          <w:sz w:val="28"/>
          <w:szCs w:val="28"/>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4</w:t>
      </w:r>
      <w:r>
        <w:rPr>
          <w:rFonts w:hint="eastAsia" w:ascii="宋体" w:hAnsi="宋体" w:cs="宋体"/>
          <w:b/>
          <w:bCs/>
          <w:color w:val="000000" w:themeColor="text1"/>
          <w:sz w:val="28"/>
          <w:szCs w:val="28"/>
          <w:highlight w:val="none"/>
          <w14:textFill>
            <w14:solidFill>
              <w14:schemeClr w14:val="tx1"/>
            </w14:solidFill>
          </w14:textFill>
        </w:rPr>
        <w:fldChar w:fldCharType="end"/>
      </w:r>
      <w:r>
        <w:rPr>
          <w:rFonts w:hint="eastAsia" w:ascii="宋体" w:hAnsi="宋体" w:cs="宋体"/>
          <w:b/>
          <w:bCs/>
          <w:color w:val="000000" w:themeColor="text1"/>
          <w:sz w:val="28"/>
          <w:szCs w:val="28"/>
          <w:highlight w:val="none"/>
          <w14:textFill>
            <w14:solidFill>
              <w14:schemeClr w14:val="tx1"/>
            </w14:solidFill>
          </w14:textFill>
        </w:rPr>
        <w:fldChar w:fldCharType="end"/>
      </w:r>
    </w:p>
    <w:p w14:paraId="600CB6B5">
      <w:pPr>
        <w:pStyle w:val="11"/>
        <w:tabs>
          <w:tab w:val="right" w:leader="dot" w:pos="9746"/>
        </w:tabs>
        <w:spacing w:line="360" w:lineRule="auto"/>
        <w:rPr>
          <w:rFonts w:ascii="宋体" w:hAnsi="宋体" w:cs="宋体"/>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"_Toc1582"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第三章  合同文本</w:t>
      </w:r>
      <w:r>
        <w:rPr>
          <w:rFonts w:hint="eastAsia" w:ascii="宋体" w:hAnsi="宋体" w:cs="宋体"/>
          <w:b/>
          <w:bCs/>
          <w:color w:val="000000" w:themeColor="text1"/>
          <w:sz w:val="28"/>
          <w:szCs w:val="28"/>
          <w:highlight w:val="none"/>
          <w14:textFill>
            <w14:solidFill>
              <w14:schemeClr w14:val="tx1"/>
            </w14:solidFill>
          </w14:textFill>
        </w:rPr>
        <w:tab/>
      </w:r>
      <w:r>
        <w:rPr>
          <w:rFonts w:hint="eastAsia" w:ascii="宋体" w:hAnsi="宋体" w:cs="宋体"/>
          <w:b/>
          <w:bCs/>
          <w:color w:val="000000" w:themeColor="text1"/>
          <w:sz w:val="28"/>
          <w:szCs w:val="28"/>
          <w:highlight w:val="none"/>
          <w14:textFill>
            <w14:solidFill>
              <w14:schemeClr w14:val="tx1"/>
            </w14:solidFill>
          </w14:textFill>
        </w:rPr>
        <w:fldChar w:fldCharType="begin"/>
      </w:r>
      <w:r>
        <w:rPr>
          <w:rFonts w:hint="eastAsia" w:ascii="宋体" w:hAnsi="宋体" w:cs="宋体"/>
          <w:b/>
          <w:bCs/>
          <w:color w:val="000000" w:themeColor="text1"/>
          <w:sz w:val="28"/>
          <w:szCs w:val="28"/>
          <w:highlight w:val="none"/>
          <w14:textFill>
            <w14:solidFill>
              <w14:schemeClr w14:val="tx1"/>
            </w14:solidFill>
          </w14:textFill>
        </w:rPr>
        <w:instrText xml:space="preserve"> PAGEREF _Toc1582 \h </w:instrText>
      </w:r>
      <w:r>
        <w:rPr>
          <w:rFonts w:hint="eastAsia" w:ascii="宋体" w:hAnsi="宋体" w:cs="宋体"/>
          <w:b/>
          <w:bCs/>
          <w:color w:val="000000" w:themeColor="text1"/>
          <w:sz w:val="28"/>
          <w:szCs w:val="28"/>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18</w:t>
      </w:r>
      <w:r>
        <w:rPr>
          <w:rFonts w:hint="eastAsia" w:ascii="宋体" w:hAnsi="宋体" w:cs="宋体"/>
          <w:b/>
          <w:bCs/>
          <w:color w:val="000000" w:themeColor="text1"/>
          <w:sz w:val="28"/>
          <w:szCs w:val="28"/>
          <w:highlight w:val="none"/>
          <w14:textFill>
            <w14:solidFill>
              <w14:schemeClr w14:val="tx1"/>
            </w14:solidFill>
          </w14:textFill>
        </w:rPr>
        <w:fldChar w:fldCharType="end"/>
      </w:r>
      <w:r>
        <w:rPr>
          <w:rFonts w:hint="eastAsia" w:ascii="宋体" w:hAnsi="宋体" w:cs="宋体"/>
          <w:b/>
          <w:bCs/>
          <w:color w:val="000000" w:themeColor="text1"/>
          <w:sz w:val="28"/>
          <w:szCs w:val="28"/>
          <w:highlight w:val="none"/>
          <w14:textFill>
            <w14:solidFill>
              <w14:schemeClr w14:val="tx1"/>
            </w14:solidFill>
          </w14:textFill>
        </w:rPr>
        <w:fldChar w:fldCharType="end"/>
      </w:r>
    </w:p>
    <w:p w14:paraId="097B0847">
      <w:pPr>
        <w:pStyle w:val="11"/>
        <w:tabs>
          <w:tab w:val="right" w:leader="dot" w:pos="9746"/>
        </w:tabs>
        <w:spacing w:line="360" w:lineRule="auto"/>
        <w:rPr>
          <w:rFonts w:ascii="宋体" w:hAnsi="宋体" w:cs="宋体"/>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"_Toc3001"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第四章 采购需求</w:t>
      </w:r>
      <w:r>
        <w:rPr>
          <w:rFonts w:hint="eastAsia" w:ascii="宋体" w:hAnsi="宋体" w:cs="宋体"/>
          <w:b/>
          <w:bCs/>
          <w:color w:val="000000" w:themeColor="text1"/>
          <w:sz w:val="28"/>
          <w:szCs w:val="28"/>
          <w:highlight w:val="none"/>
          <w14:textFill>
            <w14:solidFill>
              <w14:schemeClr w14:val="tx1"/>
            </w14:solidFill>
          </w14:textFill>
        </w:rPr>
        <w:tab/>
      </w:r>
      <w:r>
        <w:rPr>
          <w:rFonts w:hint="eastAsia" w:ascii="宋体" w:hAnsi="宋体" w:cs="宋体"/>
          <w:b/>
          <w:bCs/>
          <w:color w:val="000000" w:themeColor="text1"/>
          <w:sz w:val="28"/>
          <w:szCs w:val="28"/>
          <w:highlight w:val="none"/>
          <w14:textFill>
            <w14:solidFill>
              <w14:schemeClr w14:val="tx1"/>
            </w14:solidFill>
          </w14:textFill>
        </w:rPr>
        <w:fldChar w:fldCharType="begin"/>
      </w:r>
      <w:r>
        <w:rPr>
          <w:rFonts w:hint="eastAsia" w:ascii="宋体" w:hAnsi="宋体" w:cs="宋体"/>
          <w:b/>
          <w:bCs/>
          <w:color w:val="000000" w:themeColor="text1"/>
          <w:sz w:val="28"/>
          <w:szCs w:val="28"/>
          <w:highlight w:val="none"/>
          <w14:textFill>
            <w14:solidFill>
              <w14:schemeClr w14:val="tx1"/>
            </w14:solidFill>
          </w14:textFill>
        </w:rPr>
        <w:instrText xml:space="preserve"> PAGEREF _Toc3001 \h </w:instrText>
      </w:r>
      <w:r>
        <w:rPr>
          <w:rFonts w:hint="eastAsia" w:ascii="宋体" w:hAnsi="宋体" w:cs="宋体"/>
          <w:b/>
          <w:bCs/>
          <w:color w:val="000000" w:themeColor="text1"/>
          <w:sz w:val="28"/>
          <w:szCs w:val="28"/>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45</w:t>
      </w:r>
      <w:r>
        <w:rPr>
          <w:rFonts w:hint="eastAsia" w:ascii="宋体" w:hAnsi="宋体" w:cs="宋体"/>
          <w:b/>
          <w:bCs/>
          <w:color w:val="000000" w:themeColor="text1"/>
          <w:sz w:val="28"/>
          <w:szCs w:val="28"/>
          <w:highlight w:val="none"/>
          <w14:textFill>
            <w14:solidFill>
              <w14:schemeClr w14:val="tx1"/>
            </w14:solidFill>
          </w14:textFill>
        </w:rPr>
        <w:fldChar w:fldCharType="end"/>
      </w:r>
      <w:r>
        <w:rPr>
          <w:rFonts w:hint="eastAsia" w:ascii="宋体" w:hAnsi="宋体" w:cs="宋体"/>
          <w:b/>
          <w:bCs/>
          <w:color w:val="000000" w:themeColor="text1"/>
          <w:sz w:val="28"/>
          <w:szCs w:val="28"/>
          <w:highlight w:val="none"/>
          <w14:textFill>
            <w14:solidFill>
              <w14:schemeClr w14:val="tx1"/>
            </w14:solidFill>
          </w14:textFill>
        </w:rPr>
        <w:fldChar w:fldCharType="end"/>
      </w:r>
    </w:p>
    <w:p w14:paraId="2A87D558">
      <w:pPr>
        <w:pStyle w:val="11"/>
        <w:tabs>
          <w:tab w:val="right" w:leader="dot" w:pos="9746"/>
        </w:tabs>
        <w:spacing w:line="360" w:lineRule="auto"/>
        <w:rPr>
          <w:rFonts w:ascii="宋体" w:hAnsi="宋体" w:cs="宋体"/>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"_Toc1748"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第五章  评审方法与评审标准</w:t>
      </w:r>
      <w:r>
        <w:rPr>
          <w:rFonts w:hint="eastAsia" w:ascii="宋体" w:hAnsi="宋体" w:cs="宋体"/>
          <w:b/>
          <w:bCs/>
          <w:color w:val="000000" w:themeColor="text1"/>
          <w:sz w:val="28"/>
          <w:szCs w:val="28"/>
          <w:highlight w:val="none"/>
          <w14:textFill>
            <w14:solidFill>
              <w14:schemeClr w14:val="tx1"/>
            </w14:solidFill>
          </w14:textFill>
        </w:rPr>
        <w:tab/>
      </w:r>
      <w:r>
        <w:rPr>
          <w:rFonts w:hint="eastAsia" w:ascii="宋体" w:hAnsi="宋体" w:cs="宋体"/>
          <w:b/>
          <w:bCs/>
          <w:color w:val="000000" w:themeColor="text1"/>
          <w:sz w:val="28"/>
          <w:szCs w:val="28"/>
          <w:highlight w:val="none"/>
          <w14:textFill>
            <w14:solidFill>
              <w14:schemeClr w14:val="tx1"/>
            </w14:solidFill>
          </w14:textFill>
        </w:rPr>
        <w:fldChar w:fldCharType="begin"/>
      </w:r>
      <w:r>
        <w:rPr>
          <w:rFonts w:hint="eastAsia" w:ascii="宋体" w:hAnsi="宋体" w:cs="宋体"/>
          <w:b/>
          <w:bCs/>
          <w:color w:val="000000" w:themeColor="text1"/>
          <w:sz w:val="28"/>
          <w:szCs w:val="28"/>
          <w:highlight w:val="none"/>
          <w14:textFill>
            <w14:solidFill>
              <w14:schemeClr w14:val="tx1"/>
            </w14:solidFill>
          </w14:textFill>
        </w:rPr>
        <w:instrText xml:space="preserve"> PAGEREF _Toc1748 \h </w:instrText>
      </w:r>
      <w:r>
        <w:rPr>
          <w:rFonts w:hint="eastAsia" w:ascii="宋体" w:hAnsi="宋体" w:cs="宋体"/>
          <w:b/>
          <w:bCs/>
          <w:color w:val="000000" w:themeColor="text1"/>
          <w:sz w:val="28"/>
          <w:szCs w:val="28"/>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57</w:t>
      </w:r>
      <w:r>
        <w:rPr>
          <w:rFonts w:hint="eastAsia" w:ascii="宋体" w:hAnsi="宋体" w:cs="宋体"/>
          <w:b/>
          <w:bCs/>
          <w:color w:val="000000" w:themeColor="text1"/>
          <w:sz w:val="28"/>
          <w:szCs w:val="28"/>
          <w:highlight w:val="none"/>
          <w14:textFill>
            <w14:solidFill>
              <w14:schemeClr w14:val="tx1"/>
            </w14:solidFill>
          </w14:textFill>
        </w:rPr>
        <w:fldChar w:fldCharType="end"/>
      </w:r>
      <w:r>
        <w:rPr>
          <w:rFonts w:hint="eastAsia" w:ascii="宋体" w:hAnsi="宋体" w:cs="宋体"/>
          <w:b/>
          <w:bCs/>
          <w:color w:val="000000" w:themeColor="text1"/>
          <w:sz w:val="28"/>
          <w:szCs w:val="28"/>
          <w:highlight w:val="none"/>
          <w14:textFill>
            <w14:solidFill>
              <w14:schemeClr w14:val="tx1"/>
            </w14:solidFill>
          </w14:textFill>
        </w:rPr>
        <w:fldChar w:fldCharType="end"/>
      </w:r>
    </w:p>
    <w:p w14:paraId="2BE2D28E">
      <w:pPr>
        <w:pStyle w:val="11"/>
        <w:tabs>
          <w:tab w:val="right" w:leader="dot" w:pos="9746"/>
        </w:tabs>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"_Toc17794"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第六章  响应文件格式</w:t>
      </w:r>
      <w:r>
        <w:rPr>
          <w:rFonts w:hint="eastAsia" w:ascii="宋体" w:hAnsi="宋体" w:cs="宋体"/>
          <w:b/>
          <w:bCs/>
          <w:color w:val="000000" w:themeColor="text1"/>
          <w:sz w:val="28"/>
          <w:szCs w:val="28"/>
          <w:highlight w:val="none"/>
          <w14:textFill>
            <w14:solidFill>
              <w14:schemeClr w14:val="tx1"/>
            </w14:solidFill>
          </w14:textFill>
        </w:rPr>
        <w:tab/>
      </w:r>
      <w:r>
        <w:rPr>
          <w:rFonts w:hint="eastAsia" w:ascii="宋体" w:hAnsi="宋体" w:cs="宋体"/>
          <w:b/>
          <w:bCs/>
          <w:color w:val="000000" w:themeColor="text1"/>
          <w:sz w:val="28"/>
          <w:szCs w:val="28"/>
          <w:highlight w:val="none"/>
          <w14:textFill>
            <w14:solidFill>
              <w14:schemeClr w14:val="tx1"/>
            </w14:solidFill>
          </w14:textFill>
        </w:rPr>
        <w:fldChar w:fldCharType="begin"/>
      </w:r>
      <w:r>
        <w:rPr>
          <w:rFonts w:hint="eastAsia" w:ascii="宋体" w:hAnsi="宋体" w:cs="宋体"/>
          <w:b/>
          <w:bCs/>
          <w:color w:val="000000" w:themeColor="text1"/>
          <w:sz w:val="28"/>
          <w:szCs w:val="28"/>
          <w:highlight w:val="none"/>
          <w14:textFill>
            <w14:solidFill>
              <w14:schemeClr w14:val="tx1"/>
            </w14:solidFill>
          </w14:textFill>
        </w:rPr>
        <w:instrText xml:space="preserve"> PAGEREF _Toc17794 \h </w:instrText>
      </w:r>
      <w:r>
        <w:rPr>
          <w:rFonts w:hint="eastAsia" w:ascii="宋体" w:hAnsi="宋体" w:cs="宋体"/>
          <w:b/>
          <w:bCs/>
          <w:color w:val="000000" w:themeColor="text1"/>
          <w:sz w:val="28"/>
          <w:szCs w:val="28"/>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62</w:t>
      </w:r>
      <w:r>
        <w:rPr>
          <w:rFonts w:hint="eastAsia" w:ascii="宋体" w:hAnsi="宋体" w:cs="宋体"/>
          <w:b/>
          <w:bCs/>
          <w:color w:val="000000" w:themeColor="text1"/>
          <w:sz w:val="28"/>
          <w:szCs w:val="28"/>
          <w:highlight w:val="none"/>
          <w14:textFill>
            <w14:solidFill>
              <w14:schemeClr w14:val="tx1"/>
            </w14:solidFill>
          </w14:textFill>
        </w:rPr>
        <w:fldChar w:fldCharType="end"/>
      </w:r>
      <w:r>
        <w:rPr>
          <w:rFonts w:hint="eastAsia" w:ascii="宋体" w:hAnsi="宋体" w:cs="宋体"/>
          <w:b/>
          <w:bCs/>
          <w:color w:val="000000" w:themeColor="text1"/>
          <w:sz w:val="28"/>
          <w:szCs w:val="28"/>
          <w:highlight w:val="none"/>
          <w14:textFill>
            <w14:solidFill>
              <w14:schemeClr w14:val="tx1"/>
            </w14:solidFill>
          </w14:textFill>
        </w:rPr>
        <w:fldChar w:fldCharType="end"/>
      </w:r>
    </w:p>
    <w:p w14:paraId="662D37CB">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fldChar w:fldCharType="end"/>
      </w:r>
    </w:p>
    <w:p w14:paraId="420510EE">
      <w:pPr>
        <w:rPr>
          <w:color w:val="000000" w:themeColor="text1"/>
          <w:szCs w:val="21"/>
          <w:highlight w:val="none"/>
          <w14:textFill>
            <w14:solidFill>
              <w14:schemeClr w14:val="tx1"/>
            </w14:solidFill>
          </w14:textFill>
        </w:rPr>
      </w:pPr>
    </w:p>
    <w:p w14:paraId="7A7D8E1A">
      <w:pPr>
        <w:rPr>
          <w:color w:val="000000" w:themeColor="text1"/>
          <w:szCs w:val="21"/>
          <w:highlight w:val="none"/>
          <w14:textFill>
            <w14:solidFill>
              <w14:schemeClr w14:val="tx1"/>
            </w14:solidFill>
          </w14:textFill>
        </w:rPr>
      </w:pPr>
    </w:p>
    <w:p w14:paraId="2E4DBC12">
      <w:pPr>
        <w:rPr>
          <w:color w:val="000000" w:themeColor="text1"/>
          <w:szCs w:val="21"/>
          <w:highlight w:val="none"/>
          <w14:textFill>
            <w14:solidFill>
              <w14:schemeClr w14:val="tx1"/>
            </w14:solidFill>
          </w14:textFill>
        </w:rPr>
      </w:pPr>
    </w:p>
    <w:p w14:paraId="097EFD37">
      <w:pPr>
        <w:rPr>
          <w:color w:val="000000" w:themeColor="text1"/>
          <w:szCs w:val="21"/>
          <w:highlight w:val="none"/>
          <w14:textFill>
            <w14:solidFill>
              <w14:schemeClr w14:val="tx1"/>
            </w14:solidFill>
          </w14:textFill>
        </w:rPr>
      </w:pPr>
    </w:p>
    <w:p w14:paraId="08438CEF">
      <w:pPr>
        <w:rPr>
          <w:color w:val="000000" w:themeColor="text1"/>
          <w:szCs w:val="21"/>
          <w:highlight w:val="none"/>
          <w14:textFill>
            <w14:solidFill>
              <w14:schemeClr w14:val="tx1"/>
            </w14:solidFill>
          </w14:textFill>
        </w:rPr>
      </w:pPr>
    </w:p>
    <w:p w14:paraId="0E56C00A">
      <w:pPr>
        <w:rPr>
          <w:color w:val="000000" w:themeColor="text1"/>
          <w:szCs w:val="21"/>
          <w:highlight w:val="none"/>
          <w14:textFill>
            <w14:solidFill>
              <w14:schemeClr w14:val="tx1"/>
            </w14:solidFill>
          </w14:textFill>
        </w:rPr>
      </w:pPr>
    </w:p>
    <w:p w14:paraId="6E87990B">
      <w:pPr>
        <w:jc w:val="center"/>
        <w:rPr>
          <w:color w:val="000000" w:themeColor="text1"/>
          <w:szCs w:val="21"/>
          <w:highlight w:val="none"/>
          <w14:textFill>
            <w14:solidFill>
              <w14:schemeClr w14:val="tx1"/>
            </w14:solidFill>
          </w14:textFill>
        </w:rPr>
      </w:pPr>
    </w:p>
    <w:p w14:paraId="4AE4A891">
      <w:pPr>
        <w:rPr>
          <w:color w:val="000000" w:themeColor="text1"/>
          <w:szCs w:val="21"/>
          <w:highlight w:val="none"/>
          <w14:textFill>
            <w14:solidFill>
              <w14:schemeClr w14:val="tx1"/>
            </w14:solidFill>
          </w14:textFill>
        </w:rPr>
      </w:pPr>
    </w:p>
    <w:p w14:paraId="67501389">
      <w:pPr>
        <w:rPr>
          <w:color w:val="000000" w:themeColor="text1"/>
          <w:szCs w:val="21"/>
          <w:highlight w:val="none"/>
          <w14:textFill>
            <w14:solidFill>
              <w14:schemeClr w14:val="tx1"/>
            </w14:solidFill>
          </w14:textFill>
        </w:rPr>
      </w:pPr>
    </w:p>
    <w:p w14:paraId="7FD3E080">
      <w:pPr>
        <w:rPr>
          <w:color w:val="000000" w:themeColor="text1"/>
          <w:szCs w:val="21"/>
          <w:highlight w:val="none"/>
          <w14:textFill>
            <w14:solidFill>
              <w14:schemeClr w14:val="tx1"/>
            </w14:solidFill>
          </w14:textFill>
        </w:rPr>
      </w:pPr>
    </w:p>
    <w:p w14:paraId="771AF26E">
      <w:pPr>
        <w:tabs>
          <w:tab w:val="left" w:pos="3853"/>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ab/>
      </w:r>
    </w:p>
    <w:p w14:paraId="37221727">
      <w:pPr>
        <w:rPr>
          <w:color w:val="000000" w:themeColor="text1"/>
          <w:szCs w:val="21"/>
          <w:highlight w:val="none"/>
          <w14:textFill>
            <w14:solidFill>
              <w14:schemeClr w14:val="tx1"/>
            </w14:solidFill>
          </w14:textFill>
        </w:rPr>
      </w:pPr>
    </w:p>
    <w:p w14:paraId="19E06B3D">
      <w:pPr>
        <w:rPr>
          <w:color w:val="000000" w:themeColor="text1"/>
          <w:szCs w:val="21"/>
          <w:highlight w:val="none"/>
          <w14:textFill>
            <w14:solidFill>
              <w14:schemeClr w14:val="tx1"/>
            </w14:solidFill>
          </w14:textFill>
        </w:rPr>
      </w:pPr>
    </w:p>
    <w:p w14:paraId="4C16F05F">
      <w:pPr>
        <w:rPr>
          <w:color w:val="000000" w:themeColor="text1"/>
          <w:szCs w:val="21"/>
          <w:highlight w:val="none"/>
          <w14:textFill>
            <w14:solidFill>
              <w14:schemeClr w14:val="tx1"/>
            </w14:solidFill>
          </w14:textFill>
        </w:rPr>
      </w:pPr>
    </w:p>
    <w:p w14:paraId="46FE9006">
      <w:pPr>
        <w:rPr>
          <w:color w:val="000000" w:themeColor="text1"/>
          <w:szCs w:val="21"/>
          <w:highlight w:val="none"/>
          <w14:textFill>
            <w14:solidFill>
              <w14:schemeClr w14:val="tx1"/>
            </w14:solidFill>
          </w14:textFill>
        </w:rPr>
      </w:pPr>
    </w:p>
    <w:p w14:paraId="3227E48F">
      <w:pPr>
        <w:rPr>
          <w:color w:val="000000" w:themeColor="text1"/>
          <w:szCs w:val="21"/>
          <w:highlight w:val="none"/>
          <w14:textFill>
            <w14:solidFill>
              <w14:schemeClr w14:val="tx1"/>
            </w14:solidFill>
          </w14:textFill>
        </w:rPr>
      </w:pPr>
    </w:p>
    <w:p w14:paraId="7A8A2C3A">
      <w:pPr>
        <w:rPr>
          <w:color w:val="000000" w:themeColor="text1"/>
          <w:szCs w:val="21"/>
          <w:highlight w:val="none"/>
          <w14:textFill>
            <w14:solidFill>
              <w14:schemeClr w14:val="tx1"/>
            </w14:solidFill>
          </w14:textFill>
        </w:rPr>
      </w:pPr>
    </w:p>
    <w:p w14:paraId="40F4F239">
      <w:pPr>
        <w:rPr>
          <w:color w:val="000000" w:themeColor="text1"/>
          <w:szCs w:val="21"/>
          <w:highlight w:val="none"/>
          <w14:textFill>
            <w14:solidFill>
              <w14:schemeClr w14:val="tx1"/>
            </w14:solidFill>
          </w14:textFill>
        </w:rPr>
      </w:pPr>
    </w:p>
    <w:p w14:paraId="2248236B">
      <w:pPr>
        <w:rPr>
          <w:color w:val="000000" w:themeColor="text1"/>
          <w:szCs w:val="21"/>
          <w:highlight w:val="none"/>
          <w14:textFill>
            <w14:solidFill>
              <w14:schemeClr w14:val="tx1"/>
            </w14:solidFill>
          </w14:textFill>
        </w:rPr>
      </w:pPr>
    </w:p>
    <w:p w14:paraId="4F87F3A4">
      <w:pPr>
        <w:rPr>
          <w:color w:val="000000" w:themeColor="text1"/>
          <w:szCs w:val="21"/>
          <w:highlight w:val="none"/>
          <w14:textFill>
            <w14:solidFill>
              <w14:schemeClr w14:val="tx1"/>
            </w14:solidFill>
          </w14:textFill>
        </w:rPr>
      </w:pPr>
    </w:p>
    <w:p w14:paraId="63D9D001">
      <w:pPr>
        <w:rPr>
          <w:color w:val="000000" w:themeColor="text1"/>
          <w:szCs w:val="21"/>
          <w:highlight w:val="none"/>
          <w14:textFill>
            <w14:solidFill>
              <w14:schemeClr w14:val="tx1"/>
            </w14:solidFill>
          </w14:textFill>
        </w:rPr>
      </w:pPr>
    </w:p>
    <w:p w14:paraId="1CD6574C">
      <w:pPr>
        <w:rPr>
          <w:color w:val="000000" w:themeColor="text1"/>
          <w:szCs w:val="21"/>
          <w:highlight w:val="none"/>
          <w14:textFill>
            <w14:solidFill>
              <w14:schemeClr w14:val="tx1"/>
            </w14:solidFill>
          </w14:textFill>
        </w:rPr>
      </w:pPr>
    </w:p>
    <w:p w14:paraId="3FA5D6E1">
      <w:pPr>
        <w:rPr>
          <w:color w:val="000000" w:themeColor="text1"/>
          <w:szCs w:val="21"/>
          <w:highlight w:val="none"/>
          <w14:textFill>
            <w14:solidFill>
              <w14:schemeClr w14:val="tx1"/>
            </w14:solidFill>
          </w14:textFill>
        </w:rPr>
      </w:pPr>
    </w:p>
    <w:p w14:paraId="0B1EABD1">
      <w:pPr>
        <w:rPr>
          <w:color w:val="000000" w:themeColor="text1"/>
          <w:szCs w:val="21"/>
          <w:highlight w:val="none"/>
          <w14:textFill>
            <w14:solidFill>
              <w14:schemeClr w14:val="tx1"/>
            </w14:solidFill>
          </w14:textFill>
        </w:rPr>
      </w:pPr>
    </w:p>
    <w:p w14:paraId="2F637451">
      <w:pPr>
        <w:rPr>
          <w:color w:val="000000" w:themeColor="text1"/>
          <w:szCs w:val="21"/>
          <w:highlight w:val="none"/>
          <w14:textFill>
            <w14:solidFill>
              <w14:schemeClr w14:val="tx1"/>
            </w14:solidFill>
          </w14:textFill>
        </w:rPr>
      </w:pPr>
    </w:p>
    <w:p w14:paraId="1BBCCBD5">
      <w:pPr>
        <w:rPr>
          <w:color w:val="000000" w:themeColor="text1"/>
          <w:szCs w:val="21"/>
          <w:highlight w:val="none"/>
          <w14:textFill>
            <w14:solidFill>
              <w14:schemeClr w14:val="tx1"/>
            </w14:solidFill>
          </w14:textFill>
        </w:rPr>
      </w:pPr>
    </w:p>
    <w:p w14:paraId="65D165EA">
      <w:pPr>
        <w:rPr>
          <w:color w:val="000000" w:themeColor="text1"/>
          <w:szCs w:val="21"/>
          <w:highlight w:val="none"/>
          <w14:textFill>
            <w14:solidFill>
              <w14:schemeClr w14:val="tx1"/>
            </w14:solidFill>
          </w14:textFill>
        </w:rPr>
      </w:pPr>
    </w:p>
    <w:p w14:paraId="4780B089">
      <w:pPr>
        <w:rPr>
          <w:color w:val="000000" w:themeColor="text1"/>
          <w:szCs w:val="21"/>
          <w:highlight w:val="none"/>
          <w14:textFill>
            <w14:solidFill>
              <w14:schemeClr w14:val="tx1"/>
            </w14:solidFill>
          </w14:textFill>
        </w:rPr>
      </w:pPr>
    </w:p>
    <w:p w14:paraId="4A12812E">
      <w:pPr>
        <w:rPr>
          <w:color w:val="000000" w:themeColor="text1"/>
          <w:szCs w:val="21"/>
          <w:highlight w:val="none"/>
          <w14:textFill>
            <w14:solidFill>
              <w14:schemeClr w14:val="tx1"/>
            </w14:solidFill>
          </w14:textFill>
        </w:rPr>
      </w:pPr>
    </w:p>
    <w:p w14:paraId="67076F54">
      <w:pPr>
        <w:rPr>
          <w:color w:val="000000" w:themeColor="text1"/>
          <w:szCs w:val="21"/>
          <w:highlight w:val="none"/>
          <w14:textFill>
            <w14:solidFill>
              <w14:schemeClr w14:val="tx1"/>
            </w14:solidFill>
          </w14:textFill>
        </w:rPr>
      </w:pPr>
    </w:p>
    <w:p w14:paraId="4FEC4CFC">
      <w:pPr>
        <w:keepNext/>
        <w:jc w:val="center"/>
        <w:rPr>
          <w:rFonts w:eastAsia="黑体"/>
          <w:color w:val="000000" w:themeColor="text1"/>
          <w:sz w:val="44"/>
          <w:szCs w:val="44"/>
          <w:highlight w:val="none"/>
          <w14:textFill>
            <w14:solidFill>
              <w14:schemeClr w14:val="tx1"/>
            </w14:solidFill>
          </w14:textFill>
        </w:rPr>
        <w:sectPr>
          <w:footerReference r:id="rId8" w:type="first"/>
          <w:footerReference r:id="rId7" w:type="default"/>
          <w:pgSz w:w="11906" w:h="16838"/>
          <w:pgMar w:top="1440" w:right="1080" w:bottom="1440" w:left="1080" w:header="851" w:footer="907" w:gutter="0"/>
          <w:cols w:space="1701" w:num="1"/>
          <w:titlePg/>
          <w:docGrid w:linePitch="360" w:charSpace="0"/>
        </w:sectPr>
      </w:pPr>
      <w:bookmarkStart w:id="23" w:name="_Toc3645"/>
    </w:p>
    <w:p w14:paraId="50B3CA73">
      <w:pPr>
        <w:keepNext/>
        <w:jc w:val="center"/>
        <w:outlineLvl w:val="0"/>
        <w:rPr>
          <w:rFonts w:eastAsia="黑体"/>
          <w:bCs/>
          <w:color w:val="000000" w:themeColor="text1"/>
          <w:sz w:val="44"/>
          <w:szCs w:val="44"/>
          <w:highlight w:val="none"/>
          <w14:textFill>
            <w14:solidFill>
              <w14:schemeClr w14:val="tx1"/>
            </w14:solidFill>
          </w14:textFill>
        </w:rPr>
      </w:pPr>
      <w:bookmarkStart w:id="24" w:name="_Toc22033"/>
      <w:r>
        <w:rPr>
          <w:rFonts w:hint="eastAsia" w:eastAsia="黑体"/>
          <w:color w:val="000000" w:themeColor="text1"/>
          <w:sz w:val="44"/>
          <w:szCs w:val="44"/>
          <w:highlight w:val="none"/>
          <w14:textFill>
            <w14:solidFill>
              <w14:schemeClr w14:val="tx1"/>
            </w14:solidFill>
          </w14:textFill>
        </w:rPr>
        <w:t xml:space="preserve">第一章  </w:t>
      </w:r>
      <w:bookmarkEnd w:id="16"/>
      <w:bookmarkEnd w:id="23"/>
      <w:r>
        <w:rPr>
          <w:rFonts w:hint="eastAsia" w:eastAsia="黑体"/>
          <w:color w:val="000000" w:themeColor="text1"/>
          <w:sz w:val="44"/>
          <w:szCs w:val="44"/>
          <w:highlight w:val="none"/>
          <w14:textFill>
            <w14:solidFill>
              <w14:schemeClr w14:val="tx1"/>
            </w14:solidFill>
          </w14:textFill>
        </w:rPr>
        <w:t>磋商邀请</w:t>
      </w:r>
      <w:bookmarkEnd w:id="24"/>
    </w:p>
    <w:p w14:paraId="6CFDB27A">
      <w:pPr>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受[宿迁市公路事业发展中心]的委托，[江苏天业工程咨询房地产估价有限责任公司]就[沭阳公路超限检测站预检系统改造]（[JSZC-]）进行竞争性磋商采购，欢迎符合条件的供应商参加磋商。</w:t>
      </w:r>
    </w:p>
    <w:p w14:paraId="5483DACB">
      <w:pPr>
        <w:pBdr>
          <w:top w:val="single" w:color="000000" w:sz="4" w:space="1"/>
          <w:left w:val="single" w:color="000000" w:sz="4" w:space="4"/>
          <w:bottom w:val="single" w:color="000000" w:sz="4" w:space="1"/>
          <w:right w:val="single" w:color="000000" w:sz="4" w:space="4"/>
        </w:pBdr>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项目概况</w:t>
      </w:r>
    </w:p>
    <w:p w14:paraId="6EBE5F57">
      <w:pPr>
        <w:pBdr>
          <w:top w:val="single" w:color="000000" w:sz="4" w:space="1"/>
          <w:left w:val="single" w:color="000000" w:sz="4" w:space="4"/>
          <w:bottom w:val="single" w:color="000000" w:sz="4" w:space="1"/>
          <w:right w:val="single" w:color="000000" w:sz="4" w:space="4"/>
        </w:pBdr>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14:textFill>
            <w14:solidFill>
              <w14:schemeClr w14:val="tx1"/>
            </w14:solidFill>
          </w14:textFill>
        </w:rPr>
        <w:t>（沭阳公路超限检测站预检系统改造）</w:t>
      </w:r>
      <w:r>
        <w:rPr>
          <w:rFonts w:hint="eastAsia"/>
          <w:color w:val="000000" w:themeColor="text1"/>
          <w:sz w:val="24"/>
          <w:szCs w:val="24"/>
          <w:highlight w:val="none"/>
          <w14:textFill>
            <w14:solidFill>
              <w14:schemeClr w14:val="tx1"/>
            </w14:solidFill>
          </w14:textFill>
        </w:rPr>
        <w:t>竞争性磋商项目的潜在供应商可在</w:t>
      </w:r>
      <w:r>
        <w:rPr>
          <w:rFonts w:hint="eastAsia"/>
          <w:color w:val="000000" w:themeColor="text1"/>
          <w:sz w:val="24"/>
          <w:szCs w:val="24"/>
          <w:highlight w:val="none"/>
          <w:u w:val="single"/>
          <w14:textFill>
            <w14:solidFill>
              <w14:schemeClr w14:val="tx1"/>
            </w14:solidFill>
          </w14:textFill>
        </w:rPr>
        <w:t>“宿迁市政府采购网”自行免费下载</w:t>
      </w:r>
      <w:r>
        <w:rPr>
          <w:rFonts w:hint="eastAsia"/>
          <w:color w:val="000000" w:themeColor="text1"/>
          <w:sz w:val="24"/>
          <w:szCs w:val="24"/>
          <w:highlight w:val="none"/>
          <w14:textFill>
            <w14:solidFill>
              <w14:schemeClr w14:val="tx1"/>
            </w14:solidFill>
          </w14:textFill>
        </w:rPr>
        <w:t>磋商文件，并于</w:t>
      </w:r>
      <w:r>
        <w:rPr>
          <w:rFonts w:hint="eastAsia"/>
          <w:color w:val="000000" w:themeColor="text1"/>
          <w:sz w:val="24"/>
          <w:szCs w:val="24"/>
          <w:highlight w:val="none"/>
          <w:u w:val="single"/>
          <w14:textFill>
            <w14:solidFill>
              <w14:schemeClr w14:val="tx1"/>
            </w14:solidFill>
          </w14:textFill>
        </w:rPr>
        <w:t>2025</w:t>
      </w:r>
      <w:r>
        <w:rPr>
          <w:rFonts w:hint="eastAsia"/>
          <w:bCs/>
          <w:color w:val="000000" w:themeColor="text1"/>
          <w:sz w:val="24"/>
          <w:szCs w:val="24"/>
          <w:highlight w:val="none"/>
          <w:u w:val="single"/>
          <w14:textFill>
            <w14:solidFill>
              <w14:schemeClr w14:val="tx1"/>
            </w14:solidFill>
          </w14:textFill>
        </w:rPr>
        <w:t>年月日</w:t>
      </w:r>
      <w:r>
        <w:rPr>
          <w:rFonts w:hint="eastAsia"/>
          <w:color w:val="000000" w:themeColor="text1"/>
          <w:sz w:val="24"/>
          <w:szCs w:val="24"/>
          <w:highlight w:val="none"/>
          <w:u w:val="single"/>
          <w14:textFill>
            <w14:solidFill>
              <w14:schemeClr w14:val="tx1"/>
            </w14:solidFill>
          </w14:textFill>
        </w:rPr>
        <w:t>09</w:t>
      </w:r>
      <w:r>
        <w:rPr>
          <w:rFonts w:hint="eastAsia"/>
          <w:bCs/>
          <w:color w:val="000000" w:themeColor="text1"/>
          <w:sz w:val="24"/>
          <w:szCs w:val="24"/>
          <w:highlight w:val="none"/>
          <w:u w:val="single"/>
          <w14:textFill>
            <w14:solidFill>
              <w14:schemeClr w14:val="tx1"/>
            </w14:solidFill>
          </w14:textFill>
        </w:rPr>
        <w:t>点</w:t>
      </w:r>
      <w:r>
        <w:rPr>
          <w:rFonts w:hint="eastAsia"/>
          <w:color w:val="000000" w:themeColor="text1"/>
          <w:sz w:val="24"/>
          <w:szCs w:val="24"/>
          <w:highlight w:val="none"/>
          <w:u w:val="single"/>
          <w14:textFill>
            <w14:solidFill>
              <w14:schemeClr w14:val="tx1"/>
            </w14:solidFill>
          </w14:textFill>
        </w:rPr>
        <w:t>30</w:t>
      </w:r>
      <w:r>
        <w:rPr>
          <w:rFonts w:hint="eastAsia"/>
          <w:bCs/>
          <w:color w:val="000000" w:themeColor="text1"/>
          <w:sz w:val="24"/>
          <w:szCs w:val="24"/>
          <w:highlight w:val="none"/>
          <w:u w:val="single"/>
          <w14:textFill>
            <w14:solidFill>
              <w14:schemeClr w14:val="tx1"/>
            </w14:solidFill>
          </w14:textFill>
        </w:rPr>
        <w:t>分（</w:t>
      </w:r>
      <w:r>
        <w:rPr>
          <w:rFonts w:hint="eastAsia"/>
          <w:bCs/>
          <w:color w:val="000000" w:themeColor="text1"/>
          <w:sz w:val="24"/>
          <w:szCs w:val="24"/>
          <w:highlight w:val="none"/>
          <w14:textFill>
            <w14:solidFill>
              <w14:schemeClr w14:val="tx1"/>
            </w14:solidFill>
          </w14:textFill>
        </w:rPr>
        <w:t>北京时间）前递交响应文件</w:t>
      </w:r>
      <w:r>
        <w:rPr>
          <w:rFonts w:hint="eastAsia"/>
          <w:color w:val="000000" w:themeColor="text1"/>
          <w:sz w:val="24"/>
          <w:szCs w:val="24"/>
          <w:highlight w:val="none"/>
          <w14:textFill>
            <w14:solidFill>
              <w14:schemeClr w14:val="tx1"/>
            </w14:solidFill>
          </w14:textFill>
        </w:rPr>
        <w:t>。</w:t>
      </w:r>
    </w:p>
    <w:p w14:paraId="4BE685E7">
      <w:pPr>
        <w:keepNext/>
        <w:keepLines/>
        <w:spacing w:before="145" w:after="145" w:line="360" w:lineRule="auto"/>
        <w:ind w:firstLine="498"/>
        <w:outlineLvl w:val="1"/>
        <w:rPr>
          <w:b/>
          <w:bCs/>
          <w:color w:val="000000" w:themeColor="text1"/>
          <w:sz w:val="32"/>
          <w:szCs w:val="32"/>
          <w:highlight w:val="none"/>
          <w14:textFill>
            <w14:solidFill>
              <w14:schemeClr w14:val="tx1"/>
            </w14:solidFill>
          </w14:textFill>
        </w:rPr>
      </w:pPr>
      <w:bookmarkStart w:id="25" w:name="_Toc35393621"/>
      <w:bookmarkStart w:id="26" w:name="_Toc35393790"/>
      <w:bookmarkStart w:id="27" w:name="_Toc28359079"/>
      <w:bookmarkStart w:id="28" w:name="_Toc38985263"/>
      <w:bookmarkStart w:id="29" w:name="_Toc28359002"/>
      <w:bookmarkStart w:id="30" w:name="_Hlk24379207"/>
      <w:r>
        <w:rPr>
          <w:rFonts w:hint="eastAsia"/>
          <w:b/>
          <w:bCs/>
          <w:color w:val="000000" w:themeColor="text1"/>
          <w:sz w:val="32"/>
          <w:szCs w:val="32"/>
          <w:highlight w:val="none"/>
          <w14:textFill>
            <w14:solidFill>
              <w14:schemeClr w14:val="tx1"/>
            </w14:solidFill>
          </w14:textFill>
        </w:rPr>
        <w:t>一、项目基本情况</w:t>
      </w:r>
      <w:bookmarkEnd w:id="25"/>
      <w:bookmarkEnd w:id="26"/>
      <w:bookmarkEnd w:id="27"/>
      <w:bookmarkEnd w:id="28"/>
      <w:bookmarkEnd w:id="29"/>
    </w:p>
    <w:p w14:paraId="51965C85">
      <w:pPr>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1.项目编号：JSZC-</w:t>
      </w:r>
    </w:p>
    <w:p w14:paraId="2F97CB62">
      <w:pPr>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2.项目名称：</w:t>
      </w:r>
      <w:bookmarkEnd w:id="30"/>
      <w:r>
        <w:rPr>
          <w:rFonts w:hint="eastAsia" w:ascii="宋体" w:hAnsi="宋体" w:cs="宋体"/>
          <w:color w:val="000000" w:themeColor="text1"/>
          <w:sz w:val="24"/>
          <w:szCs w:val="24"/>
          <w:highlight w:val="none"/>
          <w14:textFill>
            <w14:solidFill>
              <w14:schemeClr w14:val="tx1"/>
            </w14:solidFill>
          </w14:textFill>
        </w:rPr>
        <w:t>沭阳公路超限检测站预检系统改造</w:t>
      </w:r>
    </w:p>
    <w:p w14:paraId="11C2CDE3">
      <w:pPr>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3.预算金额：</w:t>
      </w:r>
      <w:r>
        <w:rPr>
          <w:rFonts w:hint="eastAsia" w:ascii="宋体" w:hAnsi="宋体" w:cs="宋体"/>
          <w:color w:val="000000" w:themeColor="text1"/>
          <w:sz w:val="24"/>
          <w:szCs w:val="24"/>
          <w:highlight w:val="none"/>
          <w:lang w:val="en-US" w:eastAsia="zh-CN"/>
          <w14:textFill>
            <w14:solidFill>
              <w14:schemeClr w14:val="tx1"/>
            </w14:solidFill>
          </w14:textFill>
        </w:rPr>
        <w:t>130</w:t>
      </w:r>
      <w:r>
        <w:rPr>
          <w:rFonts w:hint="eastAsia" w:ascii="宋体" w:hAnsi="宋体" w:cs="宋体"/>
          <w:color w:val="000000" w:themeColor="text1"/>
          <w:sz w:val="24"/>
          <w:szCs w:val="24"/>
          <w:highlight w:val="none"/>
          <w14:textFill>
            <w14:solidFill>
              <w14:schemeClr w14:val="tx1"/>
            </w14:solidFill>
          </w14:textFill>
        </w:rPr>
        <w:t>万元</w:t>
      </w:r>
    </w:p>
    <w:p w14:paraId="235247E1">
      <w:pPr>
        <w:ind w:firstLine="482"/>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4.本项目</w:t>
      </w:r>
      <w:r>
        <w:rPr>
          <w:rFonts w:hint="eastAsia" w:ascii="宋体" w:hAnsi="宋体" w:cs="宋体"/>
          <w:b/>
          <w:bCs/>
          <w:color w:val="000000" w:themeColor="text1"/>
          <w:sz w:val="24"/>
          <w:szCs w:val="24"/>
          <w:highlight w:val="none"/>
          <w:u w:val="single"/>
          <w14:textFill>
            <w14:solidFill>
              <w14:schemeClr w14:val="tx1"/>
            </w14:solidFill>
          </w14:textFill>
        </w:rPr>
        <w:t xml:space="preserve"> 设定 </w:t>
      </w:r>
      <w:r>
        <w:rPr>
          <w:rFonts w:hint="eastAsia" w:ascii="宋体" w:hAnsi="宋体" w:cs="宋体"/>
          <w:b/>
          <w:bCs/>
          <w:color w:val="000000" w:themeColor="text1"/>
          <w:sz w:val="24"/>
          <w:szCs w:val="24"/>
          <w:highlight w:val="none"/>
          <w14:textFill>
            <w14:solidFill>
              <w14:schemeClr w14:val="tx1"/>
            </w14:solidFill>
          </w14:textFill>
        </w:rPr>
        <w:t>最高限价</w:t>
      </w:r>
      <w:r>
        <w:rPr>
          <w:rFonts w:hint="eastAsia" w:ascii="宋体" w:hAnsi="宋体" w:cs="宋体"/>
          <w:b/>
          <w:bCs/>
          <w:color w:val="000000" w:themeColor="text1"/>
          <w:sz w:val="24"/>
          <w:szCs w:val="24"/>
          <w:highlight w:val="none"/>
          <w14:textFill>
            <w14:solidFill>
              <w14:schemeClr w14:val="tx1"/>
            </w14:solidFill>
          </w14:textFill>
        </w:rPr>
        <w:t>，最高限价为</w:t>
      </w:r>
      <w:r>
        <w:rPr>
          <w:rFonts w:hint="eastAsia" w:ascii="宋体" w:hAnsi="宋体" w:cs="宋体"/>
          <w:b/>
          <w:bCs/>
          <w:color w:val="000000" w:themeColor="text1"/>
          <w:sz w:val="24"/>
          <w:szCs w:val="24"/>
          <w:highlight w:val="none"/>
          <w:lang w:val="en-US" w:eastAsia="zh-CN"/>
          <w14:textFill>
            <w14:solidFill>
              <w14:schemeClr w14:val="tx1"/>
            </w14:solidFill>
          </w14:textFill>
        </w:rPr>
        <w:t>130</w:t>
      </w:r>
      <w:r>
        <w:rPr>
          <w:rFonts w:hint="eastAsia" w:ascii="宋体" w:hAnsi="宋体" w:cs="宋体"/>
          <w:b/>
          <w:bCs/>
          <w:color w:val="000000" w:themeColor="text1"/>
          <w:sz w:val="24"/>
          <w:szCs w:val="24"/>
          <w:highlight w:val="none"/>
          <w14:textFill>
            <w14:solidFill>
              <w14:schemeClr w14:val="tx1"/>
            </w14:solidFill>
          </w14:textFill>
        </w:rPr>
        <w:t>万元。</w:t>
      </w:r>
    </w:p>
    <w:p w14:paraId="1EFFEDDC">
      <w:pPr>
        <w:ind w:firstLine="480" w:firstLineChars="200"/>
        <w:rPr>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5.采购需求（简介）：沭阳公路超限检测站预检系统改造，</w:t>
      </w:r>
      <w:r>
        <w:rPr>
          <w:rFonts w:hint="eastAsia"/>
          <w:color w:val="000000" w:themeColor="text1"/>
          <w:sz w:val="24"/>
          <w:szCs w:val="24"/>
          <w:highlight w:val="none"/>
          <w14:textFill>
            <w14:solidFill>
              <w14:schemeClr w14:val="tx1"/>
            </w14:solidFill>
          </w14:textFill>
        </w:rPr>
        <w:t>具体工作内容详见采购文件第四章采购需求及工程量清单。</w:t>
      </w:r>
    </w:p>
    <w:p w14:paraId="294923F3">
      <w:pPr>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6.合同履行期限：</w:t>
      </w:r>
      <w:r>
        <w:rPr>
          <w:rFonts w:hint="eastAsia" w:ascii="宋体" w:hAnsi="宋体" w:cs="宋体"/>
          <w:color w:val="000000" w:themeColor="text1"/>
          <w:sz w:val="24"/>
          <w:szCs w:val="24"/>
          <w:highlight w:val="none"/>
          <w14:textFill>
            <w14:solidFill>
              <w14:schemeClr w14:val="tx1"/>
            </w14:solidFill>
          </w14:textFill>
        </w:rPr>
        <w:t xml:space="preserve">70日历天 </w:t>
      </w:r>
    </w:p>
    <w:p w14:paraId="16B90DA2">
      <w:pPr>
        <w:ind w:firstLine="48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7.本项目</w:t>
      </w:r>
      <w:r>
        <w:rPr>
          <w:rFonts w:hint="eastAsia"/>
          <w:color w:val="000000" w:themeColor="text1"/>
          <w:sz w:val="24"/>
          <w:szCs w:val="24"/>
          <w:highlight w:val="none"/>
          <w:u w:val="single"/>
          <w14:textFill>
            <w14:solidFill>
              <w14:schemeClr w14:val="tx1"/>
            </w14:solidFill>
          </w14:textFill>
        </w:rPr>
        <w:t xml:space="preserve">不接受 </w:t>
      </w:r>
      <w:r>
        <w:rPr>
          <w:rFonts w:hint="eastAsia"/>
          <w:color w:val="000000" w:themeColor="text1"/>
          <w:sz w:val="24"/>
          <w:szCs w:val="24"/>
          <w:highlight w:val="none"/>
          <w14:textFill>
            <w14:solidFill>
              <w14:schemeClr w14:val="tx1"/>
            </w14:solidFill>
          </w14:textFill>
        </w:rPr>
        <w:t>联合体参与磋商。</w:t>
      </w:r>
    </w:p>
    <w:p w14:paraId="0289AD81">
      <w:pPr>
        <w:keepNext/>
        <w:keepLines/>
        <w:spacing w:before="145" w:after="145" w:line="360" w:lineRule="auto"/>
        <w:ind w:firstLine="498"/>
        <w:outlineLvl w:val="1"/>
        <w:rPr>
          <w:b/>
          <w:bCs/>
          <w:color w:val="000000" w:themeColor="text1"/>
          <w:sz w:val="32"/>
          <w:szCs w:val="32"/>
          <w:highlight w:val="none"/>
          <w14:textFill>
            <w14:solidFill>
              <w14:schemeClr w14:val="tx1"/>
            </w14:solidFill>
          </w14:textFill>
        </w:rPr>
      </w:pPr>
      <w:bookmarkStart w:id="31" w:name="_Toc28359003"/>
      <w:bookmarkStart w:id="32" w:name="_Toc38985264"/>
      <w:bookmarkStart w:id="33" w:name="_Toc35393622"/>
      <w:bookmarkStart w:id="34" w:name="_Toc35393791"/>
      <w:bookmarkStart w:id="35" w:name="_Toc28359080"/>
      <w:r>
        <w:rPr>
          <w:rFonts w:hint="eastAsia"/>
          <w:b/>
          <w:bCs/>
          <w:color w:val="000000" w:themeColor="text1"/>
          <w:sz w:val="32"/>
          <w:szCs w:val="32"/>
          <w:highlight w:val="none"/>
          <w14:textFill>
            <w14:solidFill>
              <w14:schemeClr w14:val="tx1"/>
            </w14:solidFill>
          </w14:textFill>
        </w:rPr>
        <w:t>二、申请人的资格要求：</w:t>
      </w:r>
      <w:bookmarkEnd w:id="31"/>
      <w:bookmarkEnd w:id="32"/>
      <w:bookmarkEnd w:id="33"/>
      <w:bookmarkEnd w:id="34"/>
      <w:bookmarkEnd w:id="35"/>
    </w:p>
    <w:p w14:paraId="75C5F665">
      <w:pPr>
        <w:ind w:firstLine="480" w:firstLineChars="200"/>
        <w:rPr>
          <w:color w:val="000000" w:themeColor="text1"/>
          <w:sz w:val="24"/>
          <w:szCs w:val="24"/>
          <w:highlight w:val="none"/>
          <w14:textFill>
            <w14:solidFill>
              <w14:schemeClr w14:val="tx1"/>
            </w14:solidFill>
          </w14:textFill>
        </w:rPr>
      </w:pPr>
      <w:bookmarkStart w:id="36" w:name="_Toc35393623"/>
      <w:bookmarkStart w:id="37" w:name="_Toc28359004"/>
      <w:bookmarkStart w:id="38" w:name="_Toc35393792"/>
      <w:bookmarkStart w:id="39" w:name="_Toc38985265"/>
      <w:bookmarkStart w:id="40" w:name="_Toc28359081"/>
      <w:r>
        <w:rPr>
          <w:rFonts w:hint="eastAsia"/>
          <w:color w:val="000000" w:themeColor="text1"/>
          <w:sz w:val="24"/>
          <w:szCs w:val="24"/>
          <w:highlight w:val="none"/>
          <w14:textFill>
            <w14:solidFill>
              <w14:schemeClr w14:val="tx1"/>
            </w14:solidFill>
          </w14:textFill>
        </w:rPr>
        <w:t>（一</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通用</w:t>
      </w:r>
      <w:r>
        <w:rPr>
          <w:color w:val="000000" w:themeColor="text1"/>
          <w:sz w:val="24"/>
          <w:szCs w:val="24"/>
          <w:highlight w:val="none"/>
          <w14:textFill>
            <w14:solidFill>
              <w14:schemeClr w14:val="tx1"/>
            </w14:solidFill>
          </w14:textFill>
        </w:rPr>
        <w:t>资格要求</w:t>
      </w:r>
    </w:p>
    <w:p w14:paraId="35B75EFA">
      <w:pPr>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1.具备《中华人民共和国政府采购法》第二十二条第一款规定的6项条件（按要求提供声明及信用承诺）；</w:t>
      </w:r>
    </w:p>
    <w:p w14:paraId="35939DC8">
      <w:pPr>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2.信用信息。信用信息查询渠道：“信用中国”网（www.creditchina.gov.cn）、“中国政府采购”网（www.ccgp.gov.cn）、江苏政府采购网（www.ccgp-jiangsu.gov.cn）。    </w:t>
      </w:r>
    </w:p>
    <w:p w14:paraId="3C345AE4">
      <w:pPr>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信用信息的使用规则：供应商被列入失信被执行人、重大税收违法失信主体、政府采购严重违法失信行为记录名单及其他不符合《中华人民共和国政府采购法》第二十二条规定条件的供应商，将拒绝其参与政府采购活动。（响应文件中无需提供证明材料）。</w:t>
      </w:r>
    </w:p>
    <w:p w14:paraId="1E600835">
      <w:pPr>
        <w:ind w:firstLine="480"/>
        <w:rPr>
          <w:color w:val="000000" w:themeColor="text1"/>
          <w:sz w:val="36"/>
          <w:szCs w:val="36"/>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信用信息查询截止时点：资格审查结束前。由采购人在资格审查现场查询信用信息，网页截屏打印，与其他采购文件一并保存。网页截屏应当留有（或注明）查询时点的网页地址和网络时间标记。信用查询记录（网页截屏和《政府采购信用信息查询使用情况说明》）由采购人授权的经办人签字确认。</w:t>
      </w:r>
    </w:p>
    <w:p w14:paraId="797F5BC0">
      <w:pPr>
        <w:ind w:firstLine="480"/>
        <w:rPr>
          <w:rFonts w:cs="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3.落实政府采购政策需满足的资格要求：本项目为专门面向中小企业采购的项目，供应商须为中小微企业、监狱企业、残疾人福利性单位（须提供《中小企业或残疾人福利性单位声明函》）。非中小</w:t>
      </w:r>
      <w:r>
        <w:rPr>
          <w:rFonts w:hint="eastAsia"/>
          <w:color w:val="000000" w:themeColor="text1"/>
          <w:sz w:val="24"/>
          <w:szCs w:val="24"/>
          <w:highlight w:val="none"/>
          <w14:textFill>
            <w14:solidFill>
              <w14:schemeClr w14:val="tx1"/>
            </w14:solidFill>
          </w14:textFill>
        </w:rPr>
        <w:t>型企业参与本项目投标，将作无效标处理。</w:t>
      </w:r>
    </w:p>
    <w:p w14:paraId="585B2D6C">
      <w:pPr>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（二）本项目的特定资格要求：</w:t>
      </w:r>
    </w:p>
    <w:p w14:paraId="3700A079">
      <w:pPr>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1.供应商须具有有效的国家建设行政主管部门核发的公路交通工程（公路机电工程分项）专业承包二级及以上资质；</w:t>
      </w:r>
    </w:p>
    <w:p w14:paraId="1DCD24AB">
      <w:pPr>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2.供应商须具备安全生产条件，具有省级及以上建设行政主管部门核发的有效的《安全生产许可证》；</w:t>
      </w:r>
    </w:p>
    <w:p w14:paraId="4EA9F143">
      <w:pPr>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color w:val="000000" w:themeColor="text1"/>
          <w:sz w:val="24"/>
          <w:szCs w:val="24"/>
          <w:highlight w:val="none"/>
          <w14:textFill>
            <w14:solidFill>
              <w14:schemeClr w14:val="tx1"/>
            </w14:solidFill>
          </w14:textFill>
        </w:rPr>
        <w:t>拟选派的</w:t>
      </w:r>
      <w:r>
        <w:rPr>
          <w:rFonts w:hint="eastAsia" w:ascii="宋体" w:hAnsi="宋体" w:cs="宋体"/>
          <w:color w:val="000000" w:themeColor="text1"/>
          <w:sz w:val="24"/>
          <w:szCs w:val="24"/>
          <w:highlight w:val="none"/>
          <w14:textFill>
            <w14:solidFill>
              <w14:schemeClr w14:val="tx1"/>
            </w14:solidFill>
          </w14:textFill>
        </w:rPr>
        <w:t>项目负责人须具有机电工程专业二级及以上建造师执业资格，具有省级交通运输行政主管部门核发的《公路水运工程施工企业主要负责人和安全生产管理人员安全生产考核</w:t>
      </w:r>
      <w:r>
        <w:rPr>
          <w:rFonts w:hint="eastAsia" w:ascii="宋体" w:hAnsi="宋体" w:cs="宋体"/>
          <w:color w:val="000000" w:themeColor="text1"/>
          <w:sz w:val="24"/>
          <w:szCs w:val="24"/>
          <w:highlight w:val="none"/>
          <w14:textFill>
            <w14:solidFill>
              <w14:schemeClr w14:val="tx1"/>
            </w14:solidFill>
          </w14:textFill>
        </w:rPr>
        <w:t>合格证书》（B证）或具有省级交通运输行政主管部门核发的《公路水运工程施工单位主要负责人、项目负责人和专职安全生产管理人员安全生产考核合格证书》（B证）；</w:t>
      </w:r>
    </w:p>
    <w:p w14:paraId="64BD8488">
      <w:pPr>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color w:val="000000" w:themeColor="text1"/>
          <w:sz w:val="24"/>
          <w:szCs w:val="24"/>
          <w:highlight w:val="none"/>
          <w14:textFill>
            <w14:solidFill>
              <w14:schemeClr w14:val="tx1"/>
            </w14:solidFill>
          </w14:textFill>
        </w:rPr>
        <w:t>拟选派的</w:t>
      </w:r>
      <w:r>
        <w:rPr>
          <w:rFonts w:hint="eastAsia" w:ascii="宋体" w:hAnsi="宋体" w:cs="宋体"/>
          <w:color w:val="000000" w:themeColor="text1"/>
          <w:sz w:val="24"/>
          <w:szCs w:val="24"/>
          <w:highlight w:val="none"/>
          <w14:textFill>
            <w14:solidFill>
              <w14:schemeClr w14:val="tx1"/>
            </w14:solidFill>
          </w14:textFill>
        </w:rPr>
        <w:t>项目负责人须为本单位人员，须在响应文件中提供磋商前6个月内本单位为其办理的任意一个月社会养老保险或医疗保险缴纳证明。</w:t>
      </w:r>
    </w:p>
    <w:p w14:paraId="7805A3E6">
      <w:pPr>
        <w:keepNext/>
        <w:keepLines/>
        <w:spacing w:before="145" w:after="145" w:line="360" w:lineRule="auto"/>
        <w:ind w:firstLine="498"/>
        <w:outlineLvl w:val="1"/>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三、获取</w:t>
      </w:r>
      <w:bookmarkEnd w:id="36"/>
      <w:bookmarkEnd w:id="37"/>
      <w:bookmarkEnd w:id="38"/>
      <w:bookmarkEnd w:id="39"/>
      <w:bookmarkEnd w:id="40"/>
      <w:r>
        <w:rPr>
          <w:rFonts w:hint="eastAsia"/>
          <w:b/>
          <w:bCs/>
          <w:color w:val="000000" w:themeColor="text1"/>
          <w:sz w:val="32"/>
          <w:szCs w:val="32"/>
          <w:highlight w:val="none"/>
          <w14:textFill>
            <w14:solidFill>
              <w14:schemeClr w14:val="tx1"/>
            </w14:solidFill>
          </w14:textFill>
        </w:rPr>
        <w:t>磋商文件</w:t>
      </w:r>
    </w:p>
    <w:p w14:paraId="25F390DC">
      <w:pPr>
        <w:spacing w:line="500" w:lineRule="exact"/>
        <w:ind w:firstLine="480"/>
        <w:rPr>
          <w:bCs/>
          <w:color w:val="000000" w:themeColor="text1"/>
          <w:sz w:val="24"/>
          <w:szCs w:val="24"/>
          <w:highlight w:val="none"/>
          <w14:textFill>
            <w14:solidFill>
              <w14:schemeClr w14:val="tx1"/>
            </w14:solidFill>
          </w14:textFill>
        </w:rPr>
      </w:pPr>
      <w:bookmarkStart w:id="41" w:name="_Toc28359005"/>
      <w:bookmarkStart w:id="42" w:name="_Toc28359082"/>
      <w:bookmarkStart w:id="43" w:name="_Toc35393624"/>
      <w:bookmarkStart w:id="44" w:name="_Toc35393793"/>
      <w:bookmarkStart w:id="45" w:name="_Toc38985266"/>
      <w:r>
        <w:rPr>
          <w:rFonts w:hint="eastAsia" w:cs="宋体"/>
          <w:color w:val="000000" w:themeColor="text1"/>
          <w:sz w:val="24"/>
          <w:szCs w:val="24"/>
          <w:highlight w:val="none"/>
          <w14:textFill>
            <w14:solidFill>
              <w14:schemeClr w14:val="tx1"/>
            </w14:solidFill>
          </w14:textFill>
        </w:rPr>
        <w:t>1.时间：2025</w:t>
      </w:r>
      <w:r>
        <w:rPr>
          <w:rFonts w:hint="eastAsia"/>
          <w:bCs/>
          <w:color w:val="000000" w:themeColor="text1"/>
          <w:sz w:val="24"/>
          <w:szCs w:val="24"/>
          <w:highlight w:val="none"/>
          <w14:textFill>
            <w14:solidFill>
              <w14:schemeClr w14:val="tx1"/>
            </w14:solidFill>
          </w14:textFill>
        </w:rPr>
        <w:t>年月日09:00至2025年月日17:30。</w:t>
      </w:r>
    </w:p>
    <w:p w14:paraId="64B99B9C">
      <w:pPr>
        <w:spacing w:line="500" w:lineRule="exact"/>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2.方式：供应商应在采购文件提供的时间内，通过“苏采云”系统（网址： http://jszfcg.jsczt.cn/）或宿迁市政府采购网点击“政府采购管理交易系统（苏采云）”，使用CA锁进入系统从“项目参与”--“采购项目”菜单中，找到本项目获取采购文件（后缀名为“.kedt”）。</w:t>
      </w:r>
    </w:p>
    <w:p w14:paraId="17F15418">
      <w:pPr>
        <w:spacing w:line="360" w:lineRule="auto"/>
        <w:ind w:firstLine="540"/>
        <w:rPr>
          <w:rFonts w:cs="宋体"/>
          <w:color w:val="000000" w:themeColor="text1"/>
          <w:sz w:val="24"/>
          <w:szCs w:val="24"/>
          <w:highlight w:val="none"/>
          <w:u w:val="single"/>
          <w14:textFill>
            <w14:solidFill>
              <w14:schemeClr w14:val="tx1"/>
            </w14:solidFill>
          </w14:textFill>
        </w:rPr>
      </w:pPr>
      <w:bookmarkStart w:id="46" w:name="EB0c44ff4da61f4af989d119fe214be450"/>
      <w:r>
        <w:rPr>
          <w:rFonts w:hint="eastAsia" w:cs="仿宋_GB2312"/>
          <w:color w:val="000000" w:themeColor="text1"/>
          <w:sz w:val="24"/>
          <w:szCs w:val="28"/>
          <w:highlight w:val="none"/>
          <w14:textFill>
            <w14:solidFill>
              <w14:schemeClr w14:val="tx1"/>
            </w14:solidFill>
          </w14:textFill>
        </w:rPr>
        <w:t>3.本项目共分一个包。供应商参与多个包磋商的，应按包分别获取磋商文件。供应商未按要求获取竞争性磋商文件导致无法磋商的，后果自负（其响应文件不予接受）。</w:t>
      </w:r>
      <w:bookmarkEnd w:id="46"/>
    </w:p>
    <w:p w14:paraId="56E43E7A">
      <w:pPr>
        <w:keepNext/>
        <w:keepLines/>
        <w:spacing w:before="145" w:after="145" w:line="360" w:lineRule="auto"/>
        <w:ind w:firstLine="498"/>
        <w:outlineLvl w:val="1"/>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四、提交</w:t>
      </w:r>
      <w:bookmarkEnd w:id="41"/>
      <w:bookmarkEnd w:id="42"/>
      <w:r>
        <w:rPr>
          <w:rFonts w:hint="eastAsia"/>
          <w:b/>
          <w:bCs/>
          <w:color w:val="000000" w:themeColor="text1"/>
          <w:sz w:val="32"/>
          <w:szCs w:val="32"/>
          <w:highlight w:val="none"/>
          <w14:textFill>
            <w14:solidFill>
              <w14:schemeClr w14:val="tx1"/>
            </w14:solidFill>
          </w14:textFill>
        </w:rPr>
        <w:t>响应文件截止时间</w:t>
      </w:r>
      <w:bookmarkEnd w:id="43"/>
      <w:bookmarkEnd w:id="44"/>
      <w:bookmarkEnd w:id="45"/>
    </w:p>
    <w:p w14:paraId="2E269F08">
      <w:pPr>
        <w:ind w:firstLine="480"/>
        <w:rPr>
          <w:rFonts w:cs="宋体"/>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1.提交响应文件截止时间、磋商时间：</w:t>
      </w:r>
      <w:r>
        <w:rPr>
          <w:rFonts w:hint="eastAsia"/>
          <w:bCs/>
          <w:color w:val="000000" w:themeColor="text1"/>
          <w:sz w:val="24"/>
          <w:szCs w:val="24"/>
          <w:highlight w:val="none"/>
          <w:u w:val="single"/>
          <w14:textFill>
            <w14:solidFill>
              <w14:schemeClr w14:val="tx1"/>
            </w14:solidFill>
          </w14:textFill>
        </w:rPr>
        <w:t>2025年月日09点30分</w:t>
      </w:r>
      <w:r>
        <w:rPr>
          <w:rFonts w:hint="eastAsia"/>
          <w:bCs/>
          <w:color w:val="000000" w:themeColor="text1"/>
          <w:sz w:val="24"/>
          <w:szCs w:val="24"/>
          <w:highlight w:val="none"/>
          <w14:textFill>
            <w14:solidFill>
              <w14:schemeClr w14:val="tx1"/>
            </w14:solidFill>
          </w14:textFill>
        </w:rPr>
        <w:t>（北京时间）。</w:t>
      </w:r>
    </w:p>
    <w:p w14:paraId="67598542">
      <w:pPr>
        <w:spacing w:line="360" w:lineRule="auto"/>
        <w:ind w:firstLine="480" w:firstLineChars="200"/>
        <w:rPr>
          <w:rFonts w:cs="仿宋_GB2312"/>
          <w:color w:val="000000" w:themeColor="text1"/>
          <w:sz w:val="24"/>
          <w:szCs w:val="28"/>
          <w:highlight w:val="none"/>
          <w14:textFill>
            <w14:solidFill>
              <w14:schemeClr w14:val="tx1"/>
            </w14:solidFill>
          </w14:textFill>
        </w:rPr>
      </w:pPr>
      <w:r>
        <w:rPr>
          <w:rFonts w:hint="eastAsia" w:cs="仿宋_GB2312"/>
          <w:color w:val="000000" w:themeColor="text1"/>
          <w:sz w:val="24"/>
          <w:szCs w:val="28"/>
          <w:highlight w:val="none"/>
          <w14:textFill>
            <w14:solidFill>
              <w14:schemeClr w14:val="tx1"/>
            </w14:solidFill>
          </w14:textFill>
        </w:rPr>
        <w:t>2.地点：“苏采云”政府采购交易系统网上开标大厅。</w:t>
      </w:r>
    </w:p>
    <w:p w14:paraId="62BCBC7C">
      <w:pPr>
        <w:keepNext/>
        <w:keepLines/>
        <w:spacing w:before="145" w:after="145" w:line="360" w:lineRule="auto"/>
        <w:ind w:firstLine="498"/>
        <w:outlineLvl w:val="1"/>
        <w:rPr>
          <w:b/>
          <w:bCs/>
          <w:color w:val="000000" w:themeColor="text1"/>
          <w:sz w:val="32"/>
          <w:szCs w:val="32"/>
          <w:highlight w:val="none"/>
          <w14:textFill>
            <w14:solidFill>
              <w14:schemeClr w14:val="tx1"/>
            </w14:solidFill>
          </w14:textFill>
        </w:rPr>
      </w:pPr>
      <w:bookmarkStart w:id="47" w:name="_Toc28359007"/>
      <w:bookmarkStart w:id="48" w:name="_Toc38985267"/>
      <w:bookmarkStart w:id="49" w:name="_Toc35393794"/>
      <w:bookmarkStart w:id="50" w:name="_Toc35393625"/>
      <w:bookmarkStart w:id="51" w:name="_Toc28359084"/>
      <w:r>
        <w:rPr>
          <w:rFonts w:hint="eastAsia"/>
          <w:b/>
          <w:bCs/>
          <w:color w:val="000000" w:themeColor="text1"/>
          <w:sz w:val="32"/>
          <w:szCs w:val="32"/>
          <w:highlight w:val="none"/>
          <w14:textFill>
            <w14:solidFill>
              <w14:schemeClr w14:val="tx1"/>
            </w14:solidFill>
          </w14:textFill>
        </w:rPr>
        <w:t>五、公告期限</w:t>
      </w:r>
      <w:bookmarkEnd w:id="47"/>
      <w:bookmarkEnd w:id="48"/>
      <w:bookmarkEnd w:id="49"/>
      <w:bookmarkEnd w:id="50"/>
      <w:bookmarkEnd w:id="51"/>
    </w:p>
    <w:p w14:paraId="144421B7">
      <w:pPr>
        <w:spacing w:line="360" w:lineRule="auto"/>
        <w:ind w:firstLine="540"/>
        <w:rPr>
          <w:rFonts w:cs="仿宋_GB2312"/>
          <w:color w:val="000000" w:themeColor="text1"/>
          <w:sz w:val="24"/>
          <w:szCs w:val="28"/>
          <w:highlight w:val="none"/>
          <w14:textFill>
            <w14:solidFill>
              <w14:schemeClr w14:val="tx1"/>
            </w14:solidFill>
          </w14:textFill>
        </w:rPr>
      </w:pPr>
      <w:bookmarkStart w:id="52" w:name="_Toc38985268"/>
      <w:bookmarkStart w:id="53" w:name="_Toc35393626"/>
      <w:bookmarkStart w:id="54" w:name="_Toc35393795"/>
      <w:r>
        <w:rPr>
          <w:rFonts w:hint="eastAsia" w:cs="仿宋_GB2312"/>
          <w:color w:val="000000" w:themeColor="text1"/>
          <w:sz w:val="24"/>
          <w:szCs w:val="28"/>
          <w:highlight w:val="none"/>
          <w14:textFill>
            <w14:solidFill>
              <w14:schemeClr w14:val="tx1"/>
            </w14:solidFill>
          </w14:textFill>
        </w:rPr>
        <w:t>磋商公告及磋商文件公告期限为自本公告发布之日起3个工作日。采购公告发布媒体：宿迁市政府采购网、宿迁市公共资源交易平台、江苏省财政部门指定的媒体。</w:t>
      </w:r>
    </w:p>
    <w:p w14:paraId="7CC36413">
      <w:pPr>
        <w:keepNext/>
        <w:keepLines/>
        <w:spacing w:before="145" w:after="145" w:line="360" w:lineRule="auto"/>
        <w:ind w:firstLine="498"/>
        <w:outlineLvl w:val="1"/>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六、其他补充事宜</w:t>
      </w:r>
      <w:bookmarkEnd w:id="52"/>
      <w:bookmarkEnd w:id="53"/>
      <w:bookmarkEnd w:id="54"/>
    </w:p>
    <w:p w14:paraId="1C311E7A">
      <w:pPr>
        <w:spacing w:line="500" w:lineRule="exact"/>
        <w:ind w:firstLine="480"/>
        <w:outlineLvl w:val="2"/>
        <w:rPr>
          <w:color w:val="000000" w:themeColor="text1"/>
          <w:sz w:val="24"/>
          <w:highlight w:val="none"/>
          <w14:textFill>
            <w14:solidFill>
              <w14:schemeClr w14:val="tx1"/>
            </w14:solidFill>
          </w14:textFill>
        </w:rPr>
      </w:pPr>
      <w:bookmarkStart w:id="55" w:name="EB64e1f522fd8c43fcb4d3ba471386b3e7"/>
      <w:r>
        <w:rPr>
          <w:rFonts w:hint="eastAsia"/>
          <w:color w:val="000000" w:themeColor="text1"/>
          <w:sz w:val="24"/>
          <w:highlight w:val="none"/>
          <w14:textFill>
            <w14:solidFill>
              <w14:schemeClr w14:val="tx1"/>
            </w14:solidFill>
          </w14:textFill>
        </w:rPr>
        <w:t>1.财政部门监督电话：0527-84363063。</w:t>
      </w:r>
    </w:p>
    <w:p w14:paraId="418E33C2">
      <w:pPr>
        <w:spacing w:line="50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2.“CA”数字证书办理：“苏采云”系统目前仅支持“苏采云”系统下的政务CA。省内各地区办理的“苏采云”系统下的政务CA全省通用。宿迁地区CA数字证书办理联系方式：18762803891。</w:t>
      </w:r>
    </w:p>
    <w:p w14:paraId="05CAEA45">
      <w:pPr>
        <w:pStyle w:val="27"/>
        <w:ind w:firstLine="480"/>
        <w:rPr>
          <w:rFonts w:ascii="Times New Roman" w:hAnsi="Times New Roman" w:eastAsia="宋体" w:cs="Times New Roman"/>
          <w:color w:val="000000" w:themeColor="text1"/>
          <w:sz w:val="24"/>
          <w:szCs w:val="21"/>
          <w:highlight w:val="none"/>
          <w:lang w:val="en-US"/>
          <w14:textFill>
            <w14:solidFill>
              <w14:schemeClr w14:val="tx1"/>
            </w14:solidFill>
          </w14:textFill>
        </w:rPr>
      </w:pPr>
      <w:r>
        <w:rPr>
          <w:rFonts w:hint="eastAsia" w:ascii="Times New Roman" w:hAnsi="Times New Roman" w:eastAsia="宋体" w:cs="Times New Roman"/>
          <w:color w:val="000000" w:themeColor="text1"/>
          <w:sz w:val="24"/>
          <w:szCs w:val="21"/>
          <w:highlight w:val="none"/>
          <w:lang w:val="en-US"/>
          <w14:textFill>
            <w14:solidFill>
              <w14:schemeClr w14:val="tx1"/>
            </w14:solidFill>
          </w14:textFill>
        </w:rPr>
        <w:t>3.宿迁地区“苏采云”技术支持客服电话：0527-84225125、0519-86722806。</w:t>
      </w:r>
    </w:p>
    <w:p w14:paraId="379857A7">
      <w:pPr>
        <w:pStyle w:val="27"/>
        <w:ind w:firstLine="480"/>
        <w:rPr>
          <w:rFonts w:ascii="Times New Roman" w:hAnsi="Times New Roman" w:eastAsia="宋体" w:cs="Times New Roman"/>
          <w:color w:val="000000" w:themeColor="text1"/>
          <w:sz w:val="24"/>
          <w:szCs w:val="21"/>
          <w:highlight w:val="none"/>
          <w:lang w:val="en-US"/>
          <w14:textFill>
            <w14:solidFill>
              <w14:schemeClr w14:val="tx1"/>
            </w14:solidFill>
          </w14:textFill>
        </w:rPr>
      </w:pPr>
      <w:r>
        <w:rPr>
          <w:rFonts w:hint="eastAsia" w:ascii="Times New Roman" w:hAnsi="Times New Roman" w:eastAsia="宋体" w:cs="Times New Roman"/>
          <w:color w:val="000000" w:themeColor="text1"/>
          <w:sz w:val="24"/>
          <w:szCs w:val="21"/>
          <w:highlight w:val="none"/>
          <w:lang w:val="en-US"/>
          <w14:textFill>
            <w14:solidFill>
              <w14:schemeClr w14:val="tx1"/>
            </w14:solidFill>
          </w14:textFill>
        </w:rPr>
        <w:t>4.如果供应商通过苏采云系统参与政府采购项目，相关操作手册详见链接：</w:t>
      </w:r>
      <w:r>
        <w:rPr>
          <w:rFonts w:hint="eastAsia" w:ascii="Times New Roman" w:hAnsi="Times New Roman" w:eastAsia="宋体" w:cs="Times New Roman"/>
          <w:color w:val="000000" w:themeColor="text1"/>
          <w:spacing w:val="-6"/>
          <w:sz w:val="24"/>
          <w:szCs w:val="21"/>
          <w:highlight w:val="none"/>
          <w:lang w:val="en-US"/>
          <w14:textFill>
            <w14:solidFill>
              <w14:schemeClr w14:val="tx1"/>
            </w14:solidFill>
          </w14:textFill>
        </w:rPr>
        <w:t>http://www.ccgp-jiangsu.gov.cn/jiangsu/zlxz/ee/ee3a4bc5a3454aa2b0d9312230633ce9.html。</w:t>
      </w:r>
    </w:p>
    <w:bookmarkEnd w:id="55"/>
    <w:p w14:paraId="0D8787B7">
      <w:pPr>
        <w:ind w:firstLine="480"/>
        <w:rPr>
          <w:rFonts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5.现场勘察及答疑：本项目不组织集中勘察及答疑，供应商如对采购需求有疑问，请咨询采购单位联系人。</w:t>
      </w:r>
    </w:p>
    <w:p w14:paraId="3CE2C2EC">
      <w:pPr>
        <w:keepNext/>
        <w:keepLines/>
        <w:spacing w:before="145" w:after="145" w:line="360" w:lineRule="auto"/>
        <w:ind w:firstLine="498"/>
        <w:outlineLvl w:val="1"/>
        <w:rPr>
          <w:b/>
          <w:bCs/>
          <w:color w:val="000000" w:themeColor="text1"/>
          <w:sz w:val="32"/>
          <w:szCs w:val="32"/>
          <w:highlight w:val="none"/>
          <w14:textFill>
            <w14:solidFill>
              <w14:schemeClr w14:val="tx1"/>
            </w14:solidFill>
          </w14:textFill>
        </w:rPr>
      </w:pPr>
      <w:bookmarkStart w:id="56" w:name="_Toc28359085"/>
      <w:bookmarkStart w:id="57" w:name="_Toc35393796"/>
      <w:bookmarkStart w:id="58" w:name="_Toc28359008"/>
      <w:bookmarkStart w:id="59" w:name="_Toc38985269"/>
      <w:bookmarkStart w:id="60" w:name="_Toc35393627"/>
      <w:r>
        <w:rPr>
          <w:rFonts w:hint="eastAsia"/>
          <w:b/>
          <w:bCs/>
          <w:color w:val="000000" w:themeColor="text1"/>
          <w:sz w:val="32"/>
          <w:szCs w:val="32"/>
          <w:highlight w:val="none"/>
          <w14:textFill>
            <w14:solidFill>
              <w14:schemeClr w14:val="tx1"/>
            </w14:solidFill>
          </w14:textFill>
        </w:rPr>
        <w:t>七、本次磋商联系方式</w:t>
      </w:r>
      <w:bookmarkEnd w:id="56"/>
      <w:bookmarkEnd w:id="57"/>
      <w:bookmarkEnd w:id="58"/>
      <w:bookmarkEnd w:id="59"/>
      <w:bookmarkEnd w:id="60"/>
    </w:p>
    <w:p w14:paraId="340EDCCC">
      <w:pPr>
        <w:widowControl/>
        <w:ind w:firstLine="560"/>
        <w:jc w:val="left"/>
        <w:outlineLvl w:val="2"/>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1.采购人信息</w:t>
      </w:r>
    </w:p>
    <w:p w14:paraId="2562C641">
      <w:pPr>
        <w:spacing w:line="360" w:lineRule="auto"/>
        <w:ind w:left="1079" w:hanging="3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名 称：</w:t>
      </w:r>
      <w:r>
        <w:rPr>
          <w:rFonts w:hint="eastAsia"/>
          <w:color w:val="000000" w:themeColor="text1"/>
          <w:sz w:val="24"/>
          <w:szCs w:val="24"/>
          <w:highlight w:val="none"/>
          <w:u w:val="single"/>
          <w14:textFill>
            <w14:solidFill>
              <w14:schemeClr w14:val="tx1"/>
            </w14:solidFill>
          </w14:textFill>
        </w:rPr>
        <w:t>宿迁市公路事业发展中心</w:t>
      </w:r>
    </w:p>
    <w:p w14:paraId="4271B283">
      <w:pPr>
        <w:spacing w:line="360" w:lineRule="auto"/>
        <w:ind w:left="1079" w:hanging="3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地址：</w:t>
      </w:r>
      <w:r>
        <w:rPr>
          <w:rFonts w:hint="eastAsia"/>
          <w:color w:val="000000" w:themeColor="text1"/>
          <w:sz w:val="24"/>
          <w:szCs w:val="24"/>
          <w:highlight w:val="none"/>
          <w:u w:val="single"/>
          <w14:textFill>
            <w14:solidFill>
              <w14:schemeClr w14:val="tx1"/>
            </w14:solidFill>
          </w14:textFill>
        </w:rPr>
        <w:t>宿迁市洪泽湖路金桥商务大厦</w:t>
      </w:r>
    </w:p>
    <w:p w14:paraId="0AF831B5">
      <w:pPr>
        <w:spacing w:line="360" w:lineRule="auto"/>
        <w:ind w:left="1079" w:hanging="3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联系人：</w:t>
      </w:r>
      <w:r>
        <w:rPr>
          <w:rFonts w:hint="eastAsia"/>
          <w:color w:val="000000" w:themeColor="text1"/>
          <w:sz w:val="24"/>
          <w:szCs w:val="24"/>
          <w:highlight w:val="none"/>
          <w:u w:val="single"/>
          <w14:textFill>
            <w14:solidFill>
              <w14:schemeClr w14:val="tx1"/>
            </w14:solidFill>
          </w14:textFill>
        </w:rPr>
        <w:t>徐威</w:t>
      </w:r>
    </w:p>
    <w:p w14:paraId="606CBFED">
      <w:pPr>
        <w:spacing w:line="360" w:lineRule="auto"/>
        <w:ind w:left="1079" w:hanging="300"/>
        <w:jc w:val="left"/>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联系方式：</w:t>
      </w:r>
      <w:bookmarkStart w:id="61" w:name="_Toc28359086"/>
      <w:bookmarkStart w:id="62" w:name="_Toc28359009"/>
      <w:r>
        <w:rPr>
          <w:rFonts w:hint="eastAsia"/>
          <w:color w:val="000000" w:themeColor="text1"/>
          <w:sz w:val="24"/>
          <w:szCs w:val="24"/>
          <w:highlight w:val="none"/>
          <w:u w:val="single"/>
          <w14:textFill>
            <w14:solidFill>
              <w14:schemeClr w14:val="tx1"/>
            </w14:solidFill>
          </w14:textFill>
        </w:rPr>
        <w:t>0527-84355182</w:t>
      </w:r>
    </w:p>
    <w:p w14:paraId="1389A4B5">
      <w:pPr>
        <w:widowControl/>
        <w:ind w:firstLine="560"/>
        <w:jc w:val="left"/>
        <w:outlineLvl w:val="2"/>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2.采购代理机构信息</w:t>
      </w:r>
      <w:bookmarkEnd w:id="61"/>
      <w:bookmarkEnd w:id="62"/>
    </w:p>
    <w:p w14:paraId="3CBA58FA">
      <w:pPr>
        <w:spacing w:line="360" w:lineRule="auto"/>
        <w:ind w:left="1079" w:hanging="300"/>
        <w:jc w:val="left"/>
        <w:rPr>
          <w:color w:val="000000" w:themeColor="text1"/>
          <w:sz w:val="24"/>
          <w:szCs w:val="24"/>
          <w:highlight w:val="none"/>
          <w14:textFill>
            <w14:solidFill>
              <w14:schemeClr w14:val="tx1"/>
            </w14:solidFill>
          </w14:textFill>
        </w:rPr>
      </w:pPr>
      <w:bookmarkStart w:id="63" w:name="_Toc28359010"/>
      <w:bookmarkStart w:id="64" w:name="_Toc28359087"/>
      <w:r>
        <w:rPr>
          <w:rFonts w:hint="eastAsia"/>
          <w:color w:val="000000" w:themeColor="text1"/>
          <w:sz w:val="24"/>
          <w:szCs w:val="24"/>
          <w:highlight w:val="none"/>
          <w14:textFill>
            <w14:solidFill>
              <w14:schemeClr w14:val="tx1"/>
            </w14:solidFill>
          </w14:textFill>
        </w:rPr>
        <w:t>名称：</w:t>
      </w:r>
      <w:r>
        <w:rPr>
          <w:rFonts w:hint="eastAsia"/>
          <w:color w:val="000000" w:themeColor="text1"/>
          <w:sz w:val="24"/>
          <w:szCs w:val="24"/>
          <w:highlight w:val="none"/>
          <w:u w:val="single"/>
          <w14:textFill>
            <w14:solidFill>
              <w14:schemeClr w14:val="tx1"/>
            </w14:solidFill>
          </w14:textFill>
        </w:rPr>
        <w:t>江苏天业工程咨询房地产估价有限责任公司</w:t>
      </w:r>
    </w:p>
    <w:p w14:paraId="1EA79178">
      <w:pPr>
        <w:spacing w:line="360" w:lineRule="auto"/>
        <w:ind w:left="1079" w:hanging="3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地址：</w:t>
      </w:r>
      <w:r>
        <w:rPr>
          <w:rFonts w:hint="eastAsia"/>
          <w:color w:val="000000" w:themeColor="text1"/>
          <w:sz w:val="24"/>
          <w:szCs w:val="24"/>
          <w:highlight w:val="none"/>
          <w:u w:val="single"/>
          <w14:textFill>
            <w14:solidFill>
              <w14:schemeClr w14:val="tx1"/>
            </w14:solidFill>
          </w14:textFill>
        </w:rPr>
        <w:t>宿迁市宿城区千百美商务广场1号楼11楼</w:t>
      </w:r>
    </w:p>
    <w:p w14:paraId="16B04B2B">
      <w:pPr>
        <w:spacing w:line="360" w:lineRule="auto"/>
        <w:ind w:left="1079" w:hanging="3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联系人：</w:t>
      </w:r>
      <w:r>
        <w:rPr>
          <w:rFonts w:hint="eastAsia"/>
          <w:color w:val="000000" w:themeColor="text1"/>
          <w:sz w:val="24"/>
          <w:szCs w:val="24"/>
          <w:highlight w:val="none"/>
          <w:u w:val="single"/>
          <w14:textFill>
            <w14:solidFill>
              <w14:schemeClr w14:val="tx1"/>
            </w14:solidFill>
          </w14:textFill>
        </w:rPr>
        <w:t>姚繁</w:t>
      </w:r>
    </w:p>
    <w:p w14:paraId="654F9E4C">
      <w:pPr>
        <w:spacing w:line="360" w:lineRule="auto"/>
        <w:ind w:left="1079" w:hanging="3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联系方式：</w:t>
      </w:r>
      <w:r>
        <w:rPr>
          <w:rFonts w:hint="eastAsia"/>
          <w:color w:val="000000" w:themeColor="text1"/>
          <w:sz w:val="24"/>
          <w:szCs w:val="24"/>
          <w:highlight w:val="none"/>
          <w:u w:val="single"/>
          <w14:textFill>
            <w14:solidFill>
              <w14:schemeClr w14:val="tx1"/>
            </w14:solidFill>
          </w14:textFill>
        </w:rPr>
        <w:t>17366401</w:t>
      </w:r>
      <w:r>
        <w:rPr>
          <w:rFonts w:hint="eastAsia"/>
          <w:color w:val="000000" w:themeColor="text1"/>
          <w:sz w:val="24"/>
          <w:szCs w:val="24"/>
          <w:highlight w:val="none"/>
          <w:u w:val="single"/>
          <w14:textFill>
            <w14:solidFill>
              <w14:schemeClr w14:val="tx1"/>
            </w14:solidFill>
          </w14:textFill>
        </w:rPr>
        <w:t>570、0527-88888679</w:t>
      </w:r>
    </w:p>
    <w:bookmarkEnd w:id="63"/>
    <w:bookmarkEnd w:id="64"/>
    <w:p w14:paraId="478137B9">
      <w:pPr>
        <w:keepNext/>
        <w:keepLines/>
        <w:spacing w:before="145" w:after="145" w:line="360" w:lineRule="auto"/>
        <w:ind w:firstLine="498"/>
        <w:outlineLvl w:val="1"/>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八、其他</w:t>
      </w:r>
    </w:p>
    <w:p w14:paraId="2E566CFB">
      <w:pPr>
        <w:tabs>
          <w:tab w:val="left" w:pos="900"/>
        </w:tabs>
        <w:spacing w:line="560" w:lineRule="exact"/>
        <w:ind w:firstLine="48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1</w:t>
      </w:r>
      <w:r>
        <w:rPr>
          <w:rFonts w:hint="eastAsia"/>
          <w:bCs/>
          <w:color w:val="000000" w:themeColor="text1"/>
          <w:sz w:val="24"/>
          <w:szCs w:val="24"/>
          <w:highlight w:val="none"/>
          <w14:textFill>
            <w14:solidFill>
              <w14:schemeClr w14:val="tx1"/>
            </w14:solidFill>
          </w14:textFill>
        </w:rPr>
        <w:t>.有关本次采购的事项若存在变动或修改，敬请及时关注“宿迁市政府采购网”更正公告。</w:t>
      </w:r>
    </w:p>
    <w:p w14:paraId="782FCF1C">
      <w:pPr>
        <w:tabs>
          <w:tab w:val="left" w:pos="900"/>
        </w:tabs>
        <w:spacing w:line="560" w:lineRule="exact"/>
        <w:ind w:firstLine="480"/>
        <w:outlineLvl w:val="2"/>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2.本次磋商不收取磋商保证金。</w:t>
      </w:r>
    </w:p>
    <w:p w14:paraId="4C223039">
      <w:pPr>
        <w:ind w:right="840"/>
        <w:rPr>
          <w:color w:val="000000" w:themeColor="text1"/>
          <w:sz w:val="24"/>
          <w:szCs w:val="24"/>
          <w:highlight w:val="none"/>
          <w14:textFill>
            <w14:solidFill>
              <w14:schemeClr w14:val="tx1"/>
            </w14:solidFill>
          </w14:textFill>
        </w:rPr>
      </w:pPr>
    </w:p>
    <w:p w14:paraId="20BC4BD2">
      <w:pPr>
        <w:keepNext/>
        <w:keepLines/>
        <w:spacing w:before="260" w:after="260" w:line="416" w:lineRule="auto"/>
        <w:jc w:val="center"/>
        <w:outlineLvl w:val="0"/>
        <w:rPr>
          <w:rFonts w:eastAsia="黑体" w:cs="Arial"/>
          <w:b/>
          <w:bCs/>
          <w:color w:val="000000" w:themeColor="text1"/>
          <w:sz w:val="44"/>
          <w:szCs w:val="44"/>
          <w:highlight w:val="none"/>
          <w14:textFill>
            <w14:solidFill>
              <w14:schemeClr w14:val="tx1"/>
            </w14:solidFill>
          </w14:textFill>
        </w:rPr>
      </w:pPr>
      <w:bookmarkStart w:id="65" w:name="_Toc120614211"/>
      <w:r>
        <w:rPr>
          <w:rFonts w:hint="eastAsia" w:eastAsia="黑体" w:cs="Arial"/>
          <w:b/>
          <w:bCs/>
          <w:color w:val="000000" w:themeColor="text1"/>
          <w:sz w:val="44"/>
          <w:szCs w:val="44"/>
          <w:highlight w:val="none"/>
          <w14:textFill>
            <w14:solidFill>
              <w14:schemeClr w14:val="tx1"/>
            </w14:solidFill>
          </w14:textFill>
        </w:rPr>
        <w:br w:type="page" w:clear="all"/>
      </w:r>
      <w:bookmarkStart w:id="66" w:name="_Toc11066"/>
      <w:bookmarkStart w:id="67" w:name="_Toc22495"/>
      <w:r>
        <w:rPr>
          <w:rFonts w:hint="eastAsia" w:eastAsia="黑体" w:cs="Arial"/>
          <w:b/>
          <w:bCs/>
          <w:color w:val="000000" w:themeColor="text1"/>
          <w:sz w:val="44"/>
          <w:szCs w:val="44"/>
          <w:highlight w:val="none"/>
          <w14:textFill>
            <w14:solidFill>
              <w14:schemeClr w14:val="tx1"/>
            </w14:solidFill>
          </w14:textFill>
        </w:rPr>
        <w:t xml:space="preserve">第二章  </w:t>
      </w:r>
      <w:bookmarkEnd w:id="17"/>
      <w:bookmarkEnd w:id="18"/>
      <w:bookmarkEnd w:id="19"/>
      <w:bookmarkEnd w:id="20"/>
      <w:bookmarkEnd w:id="21"/>
      <w:bookmarkEnd w:id="65"/>
      <w:r>
        <w:rPr>
          <w:rFonts w:hint="eastAsia" w:eastAsia="黑体" w:cs="Arial"/>
          <w:b/>
          <w:bCs/>
          <w:color w:val="000000" w:themeColor="text1"/>
          <w:sz w:val="44"/>
          <w:szCs w:val="44"/>
          <w:highlight w:val="none"/>
          <w14:textFill>
            <w14:solidFill>
              <w14:schemeClr w14:val="tx1"/>
            </w14:solidFill>
          </w14:textFill>
        </w:rPr>
        <w:t>供应商须知</w:t>
      </w:r>
      <w:bookmarkEnd w:id="66"/>
      <w:bookmarkEnd w:id="67"/>
    </w:p>
    <w:p w14:paraId="175A9926">
      <w:pPr>
        <w:keepNext/>
        <w:keepLines/>
        <w:spacing w:line="440" w:lineRule="exact"/>
        <w:ind w:firstLine="498"/>
        <w:outlineLvl w:val="1"/>
        <w:rPr>
          <w:b/>
          <w:bCs/>
          <w:color w:val="000000" w:themeColor="text1"/>
          <w:sz w:val="32"/>
          <w:szCs w:val="32"/>
          <w:highlight w:val="none"/>
          <w14:textFill>
            <w14:solidFill>
              <w14:schemeClr w14:val="tx1"/>
            </w14:solidFill>
          </w14:textFill>
        </w:rPr>
      </w:pPr>
      <w:bookmarkStart w:id="68" w:name="_Toc120614214"/>
      <w:bookmarkStart w:id="69" w:name="_Toc16938519"/>
      <w:bookmarkStart w:id="70" w:name="_Toc513029203"/>
      <w:bookmarkStart w:id="71" w:name="_Toc20823275"/>
      <w:r>
        <w:rPr>
          <w:rFonts w:hint="eastAsia"/>
          <w:b/>
          <w:bCs/>
          <w:color w:val="000000" w:themeColor="text1"/>
          <w:sz w:val="32"/>
          <w:szCs w:val="32"/>
          <w:highlight w:val="none"/>
          <w14:textFill>
            <w14:solidFill>
              <w14:schemeClr w14:val="tx1"/>
            </w14:solidFill>
          </w14:textFill>
        </w:rPr>
        <w:t>一、总则</w:t>
      </w:r>
      <w:bookmarkEnd w:id="68"/>
      <w:bookmarkEnd w:id="69"/>
      <w:bookmarkEnd w:id="70"/>
      <w:bookmarkEnd w:id="71"/>
    </w:p>
    <w:p w14:paraId="37446378">
      <w:pPr>
        <w:keepNext/>
        <w:keepLines/>
        <w:spacing w:line="440" w:lineRule="exact"/>
        <w:ind w:firstLine="420"/>
        <w:outlineLvl w:val="2"/>
        <w:rPr>
          <w:rFonts w:eastAsia="黑体" w:cs="Arial"/>
          <w:color w:val="000000" w:themeColor="text1"/>
          <w:sz w:val="28"/>
          <w:szCs w:val="28"/>
          <w:highlight w:val="none"/>
          <w14:textFill>
            <w14:solidFill>
              <w14:schemeClr w14:val="tx1"/>
            </w14:solidFill>
          </w14:textFill>
        </w:rPr>
      </w:pPr>
      <w:bookmarkStart w:id="72" w:name="_Hlt16619475"/>
      <w:bookmarkEnd w:id="72"/>
      <w:bookmarkStart w:id="73" w:name="_Toc458694821"/>
      <w:bookmarkStart w:id="74" w:name="_Toc20823276"/>
      <w:bookmarkStart w:id="75" w:name="_Toc513029204"/>
      <w:bookmarkStart w:id="76" w:name="_Toc16938520"/>
      <w:r>
        <w:rPr>
          <w:rFonts w:hint="eastAsia" w:eastAsia="黑体" w:cs="Arial"/>
          <w:color w:val="000000" w:themeColor="text1"/>
          <w:sz w:val="28"/>
          <w:szCs w:val="28"/>
          <w:highlight w:val="none"/>
          <w14:textFill>
            <w14:solidFill>
              <w14:schemeClr w14:val="tx1"/>
            </w14:solidFill>
          </w14:textFill>
        </w:rPr>
        <w:t>1</w:t>
      </w:r>
      <w:bookmarkEnd w:id="73"/>
      <w:r>
        <w:rPr>
          <w:rFonts w:hint="eastAsia" w:eastAsia="黑体" w:cs="Arial"/>
          <w:color w:val="000000" w:themeColor="text1"/>
          <w:sz w:val="28"/>
          <w:szCs w:val="28"/>
          <w:highlight w:val="none"/>
          <w14:textFill>
            <w14:solidFill>
              <w14:schemeClr w14:val="tx1"/>
            </w14:solidFill>
          </w14:textFill>
        </w:rPr>
        <w:t>、采购方式</w:t>
      </w:r>
      <w:bookmarkEnd w:id="74"/>
      <w:bookmarkEnd w:id="75"/>
      <w:bookmarkEnd w:id="76"/>
    </w:p>
    <w:p w14:paraId="1F94E765">
      <w:pPr>
        <w:spacing w:line="440" w:lineRule="exact"/>
        <w:ind w:firstLine="48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1.1 本次政府采购活动采取竞争性磋商（以下简称磋商）方式，本磋商文件仅适用于磋商公告中所述项目。</w:t>
      </w:r>
    </w:p>
    <w:p w14:paraId="6687A64F">
      <w:pPr>
        <w:keepNext/>
        <w:keepLines/>
        <w:spacing w:line="440" w:lineRule="exact"/>
        <w:ind w:firstLine="420"/>
        <w:outlineLvl w:val="2"/>
        <w:rPr>
          <w:rFonts w:eastAsia="黑体" w:cs="Arial"/>
          <w:color w:val="000000" w:themeColor="text1"/>
          <w:sz w:val="28"/>
          <w:szCs w:val="28"/>
          <w:highlight w:val="none"/>
          <w14:textFill>
            <w14:solidFill>
              <w14:schemeClr w14:val="tx1"/>
            </w14:solidFill>
          </w14:textFill>
        </w:rPr>
      </w:pPr>
      <w:bookmarkStart w:id="77" w:name="_Toc513029205"/>
      <w:bookmarkStart w:id="78" w:name="_Toc20823277"/>
      <w:bookmarkStart w:id="79" w:name="_Toc16938521"/>
      <w:r>
        <w:rPr>
          <w:rFonts w:hint="eastAsia" w:eastAsia="黑体" w:cs="Arial"/>
          <w:color w:val="000000" w:themeColor="text1"/>
          <w:sz w:val="28"/>
          <w:szCs w:val="28"/>
          <w:highlight w:val="none"/>
          <w14:textFill>
            <w14:solidFill>
              <w14:schemeClr w14:val="tx1"/>
            </w14:solidFill>
          </w14:textFill>
        </w:rPr>
        <w:t>2、合格的</w:t>
      </w:r>
      <w:bookmarkEnd w:id="77"/>
      <w:bookmarkEnd w:id="78"/>
      <w:bookmarkEnd w:id="79"/>
      <w:r>
        <w:rPr>
          <w:rFonts w:hint="eastAsia" w:eastAsia="黑体" w:cs="Arial"/>
          <w:color w:val="000000" w:themeColor="text1"/>
          <w:sz w:val="28"/>
          <w:szCs w:val="28"/>
          <w:highlight w:val="none"/>
          <w14:textFill>
            <w14:solidFill>
              <w14:schemeClr w14:val="tx1"/>
            </w14:solidFill>
          </w14:textFill>
        </w:rPr>
        <w:t>供应商</w:t>
      </w:r>
    </w:p>
    <w:p w14:paraId="36BF9447">
      <w:pPr>
        <w:spacing w:line="440" w:lineRule="exact"/>
        <w:ind w:firstLine="48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2.1满足磋商公告中供应商资格要求的规定。</w:t>
      </w:r>
    </w:p>
    <w:p w14:paraId="24C6A840">
      <w:pPr>
        <w:spacing w:line="440" w:lineRule="exact"/>
        <w:ind w:firstLine="48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2.2 满足本磋商文件实质性要求和条件的规定。</w:t>
      </w:r>
    </w:p>
    <w:p w14:paraId="0D19035F">
      <w:pPr>
        <w:keepNext/>
        <w:keepLines/>
        <w:spacing w:line="440" w:lineRule="exact"/>
        <w:ind w:firstLine="420"/>
        <w:outlineLvl w:val="2"/>
        <w:rPr>
          <w:rFonts w:eastAsia="黑体" w:cs="Arial"/>
          <w:color w:val="000000" w:themeColor="text1"/>
          <w:sz w:val="28"/>
          <w:szCs w:val="28"/>
          <w:highlight w:val="none"/>
          <w14:textFill>
            <w14:solidFill>
              <w14:schemeClr w14:val="tx1"/>
            </w14:solidFill>
          </w14:textFill>
        </w:rPr>
      </w:pPr>
      <w:bookmarkStart w:id="80" w:name="_Toc20823278"/>
      <w:bookmarkStart w:id="81" w:name="_Toc513029206"/>
      <w:bookmarkStart w:id="82" w:name="_Toc16938522"/>
      <w:r>
        <w:rPr>
          <w:rFonts w:hint="eastAsia" w:eastAsia="黑体" w:cs="Arial"/>
          <w:color w:val="000000" w:themeColor="text1"/>
          <w:sz w:val="28"/>
          <w:szCs w:val="28"/>
          <w:highlight w:val="none"/>
          <w14:textFill>
            <w14:solidFill>
              <w14:schemeClr w14:val="tx1"/>
            </w14:solidFill>
          </w14:textFill>
        </w:rPr>
        <w:t>3、适用法律</w:t>
      </w:r>
      <w:bookmarkEnd w:id="80"/>
      <w:bookmarkEnd w:id="81"/>
      <w:bookmarkEnd w:id="82"/>
    </w:p>
    <w:p w14:paraId="0BF1CF91">
      <w:pPr>
        <w:spacing w:line="440" w:lineRule="exact"/>
        <w:ind w:firstLine="48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3.1 本次磋商及由此产生的合同受中华人民共和国有关的法律法规制约和保护。</w:t>
      </w:r>
    </w:p>
    <w:p w14:paraId="7AEF82A4">
      <w:pPr>
        <w:keepNext/>
        <w:keepLines/>
        <w:spacing w:line="440" w:lineRule="exact"/>
        <w:ind w:firstLine="420"/>
        <w:outlineLvl w:val="2"/>
        <w:rPr>
          <w:rFonts w:eastAsia="黑体" w:cs="Arial"/>
          <w:color w:val="000000" w:themeColor="text1"/>
          <w:sz w:val="28"/>
          <w:szCs w:val="28"/>
          <w:highlight w:val="none"/>
          <w14:textFill>
            <w14:solidFill>
              <w14:schemeClr w14:val="tx1"/>
            </w14:solidFill>
          </w14:textFill>
        </w:rPr>
      </w:pPr>
      <w:bookmarkStart w:id="83" w:name="_Toc462564067"/>
      <w:bookmarkStart w:id="84" w:name="_Toc20823279"/>
      <w:bookmarkStart w:id="85" w:name="_Toc16938523"/>
      <w:bookmarkStart w:id="86" w:name="_Toc513029207"/>
      <w:r>
        <w:rPr>
          <w:rFonts w:hint="eastAsia" w:eastAsia="黑体" w:cs="Arial"/>
          <w:color w:val="000000" w:themeColor="text1"/>
          <w:sz w:val="28"/>
          <w:szCs w:val="28"/>
          <w:highlight w:val="none"/>
          <w14:textFill>
            <w14:solidFill>
              <w14:schemeClr w14:val="tx1"/>
            </w14:solidFill>
          </w14:textFill>
        </w:rPr>
        <w:t>4、磋商费用</w:t>
      </w:r>
      <w:bookmarkEnd w:id="83"/>
      <w:bookmarkEnd w:id="84"/>
      <w:bookmarkEnd w:id="85"/>
      <w:bookmarkEnd w:id="86"/>
    </w:p>
    <w:p w14:paraId="63971FAB">
      <w:pPr>
        <w:spacing w:line="440" w:lineRule="exact"/>
        <w:ind w:firstLine="48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4.1供应商应自行承担所有与参加本次磋商有关的费用，无论磋商过程中的做法和结果如何，采购代理机构在任何情况下均无义务和责任承担这些费用。</w:t>
      </w:r>
    </w:p>
    <w:p w14:paraId="5E6DAFD6">
      <w:pPr>
        <w:spacing w:line="440" w:lineRule="exact"/>
        <w:ind w:firstLine="480"/>
        <w:outlineLvl w:val="3"/>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4.2代理费用收取方式及标准：按以下第</w:t>
      </w:r>
      <w:r>
        <w:rPr>
          <w:rFonts w:hint="eastAsia"/>
          <w:color w:val="000000" w:themeColor="text1"/>
          <w:sz w:val="24"/>
          <w:szCs w:val="21"/>
          <w:highlight w:val="none"/>
          <w:u w:val="single"/>
          <w14:textFill>
            <w14:solidFill>
              <w14:schemeClr w14:val="tx1"/>
            </w14:solidFill>
          </w14:textFill>
        </w:rPr>
        <w:t>4.2.3</w:t>
      </w:r>
      <w:r>
        <w:rPr>
          <w:rFonts w:hint="eastAsia"/>
          <w:color w:val="000000" w:themeColor="text1"/>
          <w:sz w:val="24"/>
          <w:szCs w:val="21"/>
          <w:highlight w:val="none"/>
          <w14:textFill>
            <w14:solidFill>
              <w14:schemeClr w14:val="tx1"/>
            </w14:solidFill>
          </w14:textFill>
        </w:rPr>
        <w:t>种方式执行</w:t>
      </w:r>
    </w:p>
    <w:p w14:paraId="617BEAD8">
      <w:pPr>
        <w:spacing w:line="440" w:lineRule="exact"/>
        <w:ind w:firstLine="480"/>
        <w:rPr>
          <w:color w:val="000000" w:themeColor="text1"/>
          <w:sz w:val="24"/>
          <w:szCs w:val="21"/>
          <w:highlight w:val="none"/>
          <w:lang w:val="zh-CN"/>
          <w14:textFill>
            <w14:solidFill>
              <w14:schemeClr w14:val="tx1"/>
            </w14:solidFill>
          </w14:textFill>
        </w:rPr>
      </w:pPr>
      <w:r>
        <w:rPr>
          <w:rFonts w:hint="eastAsia"/>
          <w:color w:val="000000" w:themeColor="text1"/>
          <w:sz w:val="24"/>
          <w:szCs w:val="21"/>
          <w:highlight w:val="none"/>
          <w:lang w:val="zh-CN"/>
          <w14:textFill>
            <w14:solidFill>
              <w14:schemeClr w14:val="tx1"/>
            </w14:solidFill>
          </w14:textFill>
        </w:rPr>
        <w:t>4.2.1无需支付；</w:t>
      </w:r>
    </w:p>
    <w:p w14:paraId="338492E0">
      <w:pPr>
        <w:spacing w:line="440" w:lineRule="exact"/>
        <w:ind w:firstLine="480"/>
        <w:outlineLvl w:val="3"/>
        <w:rPr>
          <w:color w:val="000000" w:themeColor="text1"/>
          <w:sz w:val="24"/>
          <w:szCs w:val="21"/>
          <w:highlight w:val="none"/>
          <w:lang w:val="zh-CN"/>
          <w14:textFill>
            <w14:solidFill>
              <w14:schemeClr w14:val="tx1"/>
            </w14:solidFill>
          </w14:textFill>
        </w:rPr>
      </w:pPr>
      <w:r>
        <w:rPr>
          <w:rFonts w:hint="eastAsia"/>
          <w:color w:val="000000" w:themeColor="text1"/>
          <w:sz w:val="24"/>
          <w:szCs w:val="21"/>
          <w:highlight w:val="none"/>
          <w:lang w:val="zh-CN"/>
          <w14:textFill>
            <w14:solidFill>
              <w14:schemeClr w14:val="tx1"/>
            </w14:solidFill>
          </w14:textFill>
        </w:rPr>
        <w:t>4.2.2采购人支付，具体方式及标准为：</w:t>
      </w:r>
      <w:r>
        <w:rPr>
          <w:rFonts w:hint="eastAsia"/>
          <w:color w:val="000000" w:themeColor="text1"/>
          <w:sz w:val="24"/>
          <w:szCs w:val="21"/>
          <w:highlight w:val="none"/>
          <w14:textFill>
            <w14:solidFill>
              <w14:schemeClr w14:val="tx1"/>
            </w14:solidFill>
          </w14:textFill>
        </w:rPr>
        <w:t>/</w:t>
      </w:r>
      <w:r>
        <w:rPr>
          <w:rFonts w:hint="eastAsia"/>
          <w:color w:val="000000" w:themeColor="text1"/>
          <w:sz w:val="24"/>
          <w:szCs w:val="21"/>
          <w:highlight w:val="none"/>
          <w:lang w:val="zh-CN"/>
          <w14:textFill>
            <w14:solidFill>
              <w14:schemeClr w14:val="tx1"/>
            </w14:solidFill>
          </w14:textFill>
        </w:rPr>
        <w:t>。</w:t>
      </w:r>
    </w:p>
    <w:p w14:paraId="4DE23C1C">
      <w:pPr>
        <w:spacing w:line="440" w:lineRule="exact"/>
        <w:ind w:firstLine="480"/>
        <w:outlineLvl w:val="3"/>
        <w:rPr>
          <w:color w:val="000000" w:themeColor="text1"/>
          <w:highlight w:val="none"/>
          <w:lang w:val="zh-CN"/>
          <w14:textFill>
            <w14:solidFill>
              <w14:schemeClr w14:val="tx1"/>
            </w14:solidFill>
          </w14:textFill>
        </w:rPr>
      </w:pPr>
      <w:r>
        <w:rPr>
          <w:rFonts w:hint="eastAsia"/>
          <w:color w:val="000000" w:themeColor="text1"/>
          <w:sz w:val="24"/>
          <w:szCs w:val="21"/>
          <w:highlight w:val="none"/>
          <w:lang w:val="zh-CN"/>
          <w14:textFill>
            <w14:solidFill>
              <w14:schemeClr w14:val="tx1"/>
            </w14:solidFill>
          </w14:textFill>
        </w:rPr>
        <w:t>4.2.3 中标人</w:t>
      </w:r>
      <w:r>
        <w:rPr>
          <w:rFonts w:hint="eastAsia"/>
          <w:color w:val="000000" w:themeColor="text1"/>
          <w:sz w:val="24"/>
          <w:szCs w:val="21"/>
          <w:highlight w:val="none"/>
          <w14:textFill>
            <w14:solidFill>
              <w14:schemeClr w14:val="tx1"/>
            </w14:solidFill>
          </w14:textFill>
        </w:rPr>
        <w:t>代为</w:t>
      </w:r>
      <w:r>
        <w:rPr>
          <w:rFonts w:hint="eastAsia"/>
          <w:color w:val="000000" w:themeColor="text1"/>
          <w:sz w:val="24"/>
          <w:szCs w:val="21"/>
          <w:highlight w:val="none"/>
          <w:lang w:val="zh-CN"/>
          <w14:textFill>
            <w14:solidFill>
              <w14:schemeClr w14:val="tx1"/>
            </w14:solidFill>
          </w14:textFill>
        </w:rPr>
        <w:t>支付，具体方式及标准为：按《江苏省招标代理服务收费的指导意见》苏招协[2022]002号文收费标准的67%计算收取代理费。支付方式可以通过转账或数字人民币等方式。</w:t>
      </w:r>
    </w:p>
    <w:p w14:paraId="5714FADC">
      <w:pPr>
        <w:keepNext/>
        <w:keepLines/>
        <w:spacing w:line="440" w:lineRule="exact"/>
        <w:ind w:firstLine="602"/>
        <w:outlineLvl w:val="2"/>
        <w:rPr>
          <w:rFonts w:eastAsia="黑体" w:cs="Arial"/>
          <w:color w:val="000000" w:themeColor="text1"/>
          <w:sz w:val="28"/>
          <w:szCs w:val="28"/>
          <w:highlight w:val="none"/>
          <w14:textFill>
            <w14:solidFill>
              <w14:schemeClr w14:val="tx1"/>
            </w14:solidFill>
          </w14:textFill>
        </w:rPr>
      </w:pPr>
      <w:r>
        <w:rPr>
          <w:rFonts w:hint="eastAsia" w:eastAsia="黑体" w:cs="Arial"/>
          <w:b/>
          <w:bCs/>
          <w:color w:val="000000" w:themeColor="text1"/>
          <w:sz w:val="30"/>
          <w:szCs w:val="28"/>
          <w:highlight w:val="none"/>
          <w14:textFill>
            <w14:solidFill>
              <w14:schemeClr w14:val="tx1"/>
            </w14:solidFill>
          </w14:textFill>
        </w:rPr>
        <w:t>5、</w:t>
      </w:r>
      <w:r>
        <w:rPr>
          <w:rFonts w:hint="eastAsia" w:eastAsia="黑体" w:cs="Arial"/>
          <w:color w:val="000000" w:themeColor="text1"/>
          <w:sz w:val="28"/>
          <w:szCs w:val="28"/>
          <w:highlight w:val="none"/>
          <w14:textFill>
            <w14:solidFill>
              <w14:schemeClr w14:val="tx1"/>
            </w14:solidFill>
          </w14:textFill>
        </w:rPr>
        <w:t>磋商文件的约束力</w:t>
      </w:r>
    </w:p>
    <w:p w14:paraId="70630795">
      <w:pPr>
        <w:spacing w:line="440" w:lineRule="exact"/>
        <w:ind w:firstLine="480"/>
        <w:rPr>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5.1</w:t>
      </w:r>
      <w:r>
        <w:rPr>
          <w:rFonts w:hint="eastAsia"/>
          <w:color w:val="000000" w:themeColor="text1"/>
          <w:sz w:val="24"/>
          <w:szCs w:val="24"/>
          <w:highlight w:val="none"/>
          <w14:textFill>
            <w14:solidFill>
              <w14:schemeClr w14:val="tx1"/>
            </w14:solidFill>
          </w14:textFill>
        </w:rPr>
        <w:t>供应商一旦参加本项目采购活动，即被认为接受了本磋商文件的规定和约束。</w:t>
      </w:r>
    </w:p>
    <w:p w14:paraId="3194288E">
      <w:pPr>
        <w:keepNext/>
        <w:keepLines/>
        <w:spacing w:line="440" w:lineRule="exact"/>
        <w:ind w:firstLine="321"/>
        <w:outlineLvl w:val="1"/>
        <w:rPr>
          <w:b/>
          <w:bCs/>
          <w:color w:val="000000" w:themeColor="text1"/>
          <w:sz w:val="32"/>
          <w:szCs w:val="32"/>
          <w:highlight w:val="none"/>
          <w14:textFill>
            <w14:solidFill>
              <w14:schemeClr w14:val="tx1"/>
            </w14:solidFill>
          </w14:textFill>
        </w:rPr>
      </w:pPr>
      <w:bookmarkStart w:id="87" w:name="_Toc120614215"/>
      <w:bookmarkStart w:id="88" w:name="_Toc513029209"/>
      <w:bookmarkStart w:id="89" w:name="_Toc20823281"/>
      <w:bookmarkStart w:id="90" w:name="_Toc16938525"/>
      <w:r>
        <w:rPr>
          <w:rFonts w:hint="eastAsia"/>
          <w:b/>
          <w:bCs/>
          <w:color w:val="000000" w:themeColor="text1"/>
          <w:sz w:val="32"/>
          <w:szCs w:val="32"/>
          <w:highlight w:val="none"/>
          <w14:textFill>
            <w14:solidFill>
              <w14:schemeClr w14:val="tx1"/>
            </w14:solidFill>
          </w14:textFill>
        </w:rPr>
        <w:t>二、</w:t>
      </w:r>
      <w:bookmarkEnd w:id="87"/>
      <w:bookmarkEnd w:id="88"/>
      <w:bookmarkEnd w:id="89"/>
      <w:bookmarkEnd w:id="90"/>
      <w:r>
        <w:rPr>
          <w:rFonts w:hint="eastAsia"/>
          <w:b/>
          <w:bCs/>
          <w:color w:val="000000" w:themeColor="text1"/>
          <w:sz w:val="32"/>
          <w:szCs w:val="32"/>
          <w:highlight w:val="none"/>
          <w14:textFill>
            <w14:solidFill>
              <w14:schemeClr w14:val="tx1"/>
            </w14:solidFill>
          </w14:textFill>
        </w:rPr>
        <w:t>磋商文件</w:t>
      </w:r>
    </w:p>
    <w:p w14:paraId="1BE28239">
      <w:pPr>
        <w:keepNext/>
        <w:keepLines/>
        <w:spacing w:line="440" w:lineRule="exact"/>
        <w:ind w:firstLine="420"/>
        <w:outlineLvl w:val="2"/>
        <w:rPr>
          <w:rFonts w:eastAsia="黑体" w:cs="Arial"/>
          <w:color w:val="000000" w:themeColor="text1"/>
          <w:sz w:val="28"/>
          <w:szCs w:val="28"/>
          <w:highlight w:val="none"/>
          <w14:textFill>
            <w14:solidFill>
              <w14:schemeClr w14:val="tx1"/>
            </w14:solidFill>
          </w14:textFill>
        </w:rPr>
      </w:pPr>
      <w:bookmarkStart w:id="91" w:name="_Toc20823282"/>
      <w:bookmarkStart w:id="92" w:name="_Toc16938526"/>
      <w:bookmarkStart w:id="93" w:name="_Toc513029210"/>
      <w:r>
        <w:rPr>
          <w:rFonts w:hint="eastAsia" w:eastAsia="黑体" w:cs="Arial"/>
          <w:color w:val="000000" w:themeColor="text1"/>
          <w:sz w:val="28"/>
          <w:szCs w:val="28"/>
          <w:highlight w:val="none"/>
          <w14:textFill>
            <w14:solidFill>
              <w14:schemeClr w14:val="tx1"/>
            </w14:solidFill>
          </w14:textFill>
        </w:rPr>
        <w:t>6、磋商文件构成</w:t>
      </w:r>
      <w:bookmarkEnd w:id="91"/>
      <w:bookmarkEnd w:id="92"/>
      <w:bookmarkEnd w:id="93"/>
    </w:p>
    <w:p w14:paraId="4F3DE0EE">
      <w:pPr>
        <w:spacing w:line="440" w:lineRule="exact"/>
        <w:ind w:firstLine="480"/>
        <w:outlineLvl w:val="3"/>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6.1磋商文件由以下部分组成：</w:t>
      </w:r>
    </w:p>
    <w:p w14:paraId="0FB870F7">
      <w:pPr>
        <w:spacing w:line="440" w:lineRule="exact"/>
        <w:ind w:firstLine="480"/>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（1）磋商邀请函</w:t>
      </w:r>
    </w:p>
    <w:p w14:paraId="3A62F744">
      <w:pPr>
        <w:spacing w:line="440" w:lineRule="exact"/>
        <w:ind w:firstLine="480"/>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（2）供应商须知</w:t>
      </w:r>
    </w:p>
    <w:p w14:paraId="3142B64D">
      <w:pPr>
        <w:spacing w:line="440" w:lineRule="exact"/>
        <w:ind w:firstLine="480"/>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（3）合同文本</w:t>
      </w:r>
    </w:p>
    <w:p w14:paraId="27DB5862">
      <w:pPr>
        <w:spacing w:line="440" w:lineRule="exact"/>
        <w:ind w:firstLine="480"/>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（4）采购需求</w:t>
      </w:r>
    </w:p>
    <w:p w14:paraId="4D565290">
      <w:pPr>
        <w:spacing w:line="440" w:lineRule="exact"/>
        <w:ind w:firstLine="480"/>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（5）评审方法与评审标准</w:t>
      </w:r>
    </w:p>
    <w:p w14:paraId="341D2CCF">
      <w:pPr>
        <w:spacing w:line="440" w:lineRule="exact"/>
        <w:ind w:firstLine="480"/>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（6）响应文件格式</w:t>
      </w:r>
    </w:p>
    <w:p w14:paraId="4F7C617C">
      <w:pPr>
        <w:spacing w:line="440" w:lineRule="exact"/>
        <w:ind w:firstLine="48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请仔细检查磋商文件是否齐全，如有缺漏请立即与采购代理机构联系解决。</w:t>
      </w:r>
    </w:p>
    <w:p w14:paraId="7F3DDB09">
      <w:pPr>
        <w:spacing w:line="440" w:lineRule="exact"/>
        <w:ind w:firstLine="480"/>
        <w:rPr>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6.2</w:t>
      </w:r>
      <w:r>
        <w:rPr>
          <w:rFonts w:hint="eastAsia"/>
          <w:color w:val="000000" w:themeColor="text1"/>
          <w:sz w:val="24"/>
          <w:szCs w:val="21"/>
          <w:highlight w:val="none"/>
          <w14:textFill>
            <w14:solidFill>
              <w14:schemeClr w14:val="tx1"/>
            </w14:solidFill>
          </w14:textFill>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13823A37">
      <w:pPr>
        <w:keepNext/>
        <w:keepLines/>
        <w:spacing w:line="440" w:lineRule="exact"/>
        <w:ind w:firstLine="560"/>
        <w:outlineLvl w:val="2"/>
        <w:rPr>
          <w:rFonts w:eastAsia="黑体" w:cs="Arial"/>
          <w:color w:val="000000" w:themeColor="text1"/>
          <w:sz w:val="28"/>
          <w:szCs w:val="28"/>
          <w:highlight w:val="none"/>
          <w14:textFill>
            <w14:solidFill>
              <w14:schemeClr w14:val="tx1"/>
            </w14:solidFill>
          </w14:textFill>
        </w:rPr>
      </w:pPr>
      <w:bookmarkStart w:id="94" w:name="_Toc20823283"/>
      <w:bookmarkStart w:id="95" w:name="_Toc462564070"/>
      <w:bookmarkStart w:id="96" w:name="_Toc16938527"/>
      <w:bookmarkStart w:id="97" w:name="_Toc513029211"/>
      <w:r>
        <w:rPr>
          <w:rFonts w:hint="eastAsia" w:eastAsia="黑体" w:cs="Arial"/>
          <w:color w:val="000000" w:themeColor="text1"/>
          <w:sz w:val="28"/>
          <w:szCs w:val="28"/>
          <w:highlight w:val="none"/>
          <w14:textFill>
            <w14:solidFill>
              <w14:schemeClr w14:val="tx1"/>
            </w14:solidFill>
          </w14:textFill>
        </w:rPr>
        <w:t>7、磋商文件的澄清</w:t>
      </w:r>
      <w:bookmarkEnd w:id="94"/>
      <w:bookmarkEnd w:id="95"/>
      <w:bookmarkEnd w:id="96"/>
      <w:bookmarkEnd w:id="97"/>
    </w:p>
    <w:p w14:paraId="115E05F9">
      <w:pPr>
        <w:spacing w:line="440" w:lineRule="exact"/>
        <w:ind w:firstLine="480"/>
        <w:rPr>
          <w:color w:val="000000" w:themeColor="text1"/>
          <w:sz w:val="24"/>
          <w:szCs w:val="24"/>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7.1</w:t>
      </w:r>
      <w:r>
        <w:rPr>
          <w:rFonts w:hint="eastAsia"/>
          <w:color w:val="000000" w:themeColor="text1"/>
          <w:sz w:val="24"/>
          <w:szCs w:val="21"/>
          <w:highlight w:val="none"/>
          <w14:textFill>
            <w14:solidFill>
              <w14:schemeClr w14:val="tx1"/>
            </w14:solidFill>
          </w14:textFill>
        </w:rPr>
        <w:t>任何要求对磋商文件进行澄清的供应商，应在磋商截止期5日</w:t>
      </w:r>
      <w:r>
        <w:rPr>
          <w:rFonts w:hint="eastAsia"/>
          <w:color w:val="000000" w:themeColor="text1"/>
          <w:sz w:val="24"/>
          <w:szCs w:val="24"/>
          <w:highlight w:val="none"/>
          <w14:textFill>
            <w14:solidFill>
              <w14:schemeClr w14:val="tx1"/>
            </w14:solidFill>
          </w14:textFill>
        </w:rPr>
        <w:t>前</w:t>
      </w:r>
      <w:r>
        <w:rPr>
          <w:rFonts w:hint="eastAsia"/>
          <w:color w:val="000000" w:themeColor="text1"/>
          <w:sz w:val="24"/>
          <w:szCs w:val="21"/>
          <w:highlight w:val="none"/>
          <w14:textFill>
            <w14:solidFill>
              <w14:schemeClr w14:val="tx1"/>
            </w14:solidFill>
          </w14:textFill>
        </w:rPr>
        <w:t>按磋商公告中的通讯地址，以书面形式通知采购代理机构。</w:t>
      </w:r>
    </w:p>
    <w:p w14:paraId="2D6E2662">
      <w:pPr>
        <w:keepNext/>
        <w:keepLines/>
        <w:spacing w:line="440" w:lineRule="exact"/>
        <w:ind w:firstLine="560"/>
        <w:outlineLvl w:val="2"/>
        <w:rPr>
          <w:rFonts w:eastAsia="黑体" w:cs="Arial"/>
          <w:color w:val="000000" w:themeColor="text1"/>
          <w:sz w:val="28"/>
          <w:szCs w:val="28"/>
          <w:highlight w:val="none"/>
          <w14:textFill>
            <w14:solidFill>
              <w14:schemeClr w14:val="tx1"/>
            </w14:solidFill>
          </w14:textFill>
        </w:rPr>
      </w:pPr>
      <w:bookmarkStart w:id="98" w:name="_Toc16938528"/>
      <w:bookmarkStart w:id="99" w:name="_Toc513029212"/>
      <w:bookmarkStart w:id="100" w:name="_Toc20823284"/>
      <w:bookmarkStart w:id="101" w:name="_Toc462564071"/>
      <w:r>
        <w:rPr>
          <w:rFonts w:hint="eastAsia" w:eastAsia="黑体" w:cs="Arial"/>
          <w:color w:val="000000" w:themeColor="text1"/>
          <w:sz w:val="28"/>
          <w:szCs w:val="28"/>
          <w:highlight w:val="none"/>
          <w14:textFill>
            <w14:solidFill>
              <w14:schemeClr w14:val="tx1"/>
            </w14:solidFill>
          </w14:textFill>
        </w:rPr>
        <w:t>8、磋商文件的澄清和修改</w:t>
      </w:r>
      <w:bookmarkEnd w:id="98"/>
      <w:bookmarkEnd w:id="99"/>
      <w:bookmarkEnd w:id="100"/>
      <w:bookmarkEnd w:id="101"/>
    </w:p>
    <w:p w14:paraId="57C6C7E8">
      <w:pPr>
        <w:spacing w:line="440" w:lineRule="exact"/>
        <w:ind w:firstLine="48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8.1采购代理机构可以以更正公告的形式，对已发出的磋商文件进行必要的澄清或者修改。澄清或者修改的内容可能影响响应文件编制的，更正公告应在</w:t>
      </w:r>
      <w:r>
        <w:rPr>
          <w:rFonts w:hint="eastAsia"/>
          <w:color w:val="000000" w:themeColor="text1"/>
          <w:sz w:val="24"/>
          <w:szCs w:val="21"/>
          <w:highlight w:val="none"/>
          <w14:textFill>
            <w14:solidFill>
              <w14:schemeClr w14:val="tx1"/>
            </w14:solidFill>
          </w14:textFill>
        </w:rPr>
        <w:t>提交首次响应文件截止时间</w:t>
      </w:r>
      <w:r>
        <w:rPr>
          <w:rFonts w:hint="eastAsia"/>
          <w:bCs/>
          <w:color w:val="000000" w:themeColor="text1"/>
          <w:sz w:val="24"/>
          <w:highlight w:val="none"/>
          <w14:textFill>
            <w14:solidFill>
              <w14:schemeClr w14:val="tx1"/>
            </w14:solidFill>
          </w14:textFill>
        </w:rPr>
        <w:t>至少</w:t>
      </w:r>
      <w:r>
        <w:rPr>
          <w:bCs/>
          <w:color w:val="000000" w:themeColor="text1"/>
          <w:sz w:val="24"/>
          <w:highlight w:val="none"/>
          <w14:textFill>
            <w14:solidFill>
              <w14:schemeClr w14:val="tx1"/>
            </w14:solidFill>
          </w14:textFill>
        </w:rPr>
        <w:t>5</w:t>
      </w:r>
      <w:r>
        <w:rPr>
          <w:rFonts w:hint="eastAsia"/>
          <w:bCs/>
          <w:color w:val="000000" w:themeColor="text1"/>
          <w:sz w:val="24"/>
          <w:highlight w:val="none"/>
          <w14:textFill>
            <w14:solidFill>
              <w14:schemeClr w14:val="tx1"/>
            </w14:solidFill>
          </w14:textFill>
        </w:rPr>
        <w:t>日前发出；不足</w:t>
      </w:r>
      <w:r>
        <w:rPr>
          <w:bCs/>
          <w:color w:val="000000" w:themeColor="text1"/>
          <w:sz w:val="24"/>
          <w:highlight w:val="none"/>
          <w14:textFill>
            <w14:solidFill>
              <w14:schemeClr w14:val="tx1"/>
            </w14:solidFill>
          </w14:textFill>
        </w:rPr>
        <w:t>5</w:t>
      </w:r>
      <w:r>
        <w:rPr>
          <w:rFonts w:hint="eastAsia"/>
          <w:bCs/>
          <w:color w:val="000000" w:themeColor="text1"/>
          <w:sz w:val="24"/>
          <w:highlight w:val="none"/>
          <w14:textFill>
            <w14:solidFill>
              <w14:schemeClr w14:val="tx1"/>
            </w14:solidFill>
          </w14:textFill>
        </w:rPr>
        <w:t>日的，采购代理机构应当顺延</w:t>
      </w:r>
      <w:r>
        <w:rPr>
          <w:rFonts w:hint="eastAsia"/>
          <w:color w:val="000000" w:themeColor="text1"/>
          <w:sz w:val="24"/>
          <w:szCs w:val="21"/>
          <w:highlight w:val="none"/>
          <w14:textFill>
            <w14:solidFill>
              <w14:schemeClr w14:val="tx1"/>
            </w14:solidFill>
          </w14:textFill>
        </w:rPr>
        <w:t>提交首次响应文件截止时间</w:t>
      </w:r>
      <w:r>
        <w:rPr>
          <w:rFonts w:hint="eastAsia"/>
          <w:bCs/>
          <w:color w:val="000000" w:themeColor="text1"/>
          <w:sz w:val="24"/>
          <w:highlight w:val="none"/>
          <w14:textFill>
            <w14:solidFill>
              <w14:schemeClr w14:val="tx1"/>
            </w14:solidFill>
          </w14:textFill>
        </w:rPr>
        <w:t>。</w:t>
      </w:r>
    </w:p>
    <w:p w14:paraId="695F2B7B">
      <w:pPr>
        <w:spacing w:line="440" w:lineRule="exact"/>
        <w:ind w:firstLine="48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8.2</w:t>
      </w:r>
      <w:r>
        <w:rPr>
          <w:rFonts w:hint="eastAsia"/>
          <w:color w:val="000000" w:themeColor="text1"/>
          <w:sz w:val="24"/>
          <w:szCs w:val="21"/>
          <w:highlight w:val="none"/>
          <w14:textFill>
            <w14:solidFill>
              <w14:schemeClr w14:val="tx1"/>
            </w14:solidFill>
          </w14:textFill>
        </w:rPr>
        <w:t>在响应文件提交截止时间前</w:t>
      </w:r>
      <w:r>
        <w:rPr>
          <w:rFonts w:hint="eastAsia"/>
          <w:bCs/>
          <w:color w:val="000000" w:themeColor="text1"/>
          <w:sz w:val="24"/>
          <w:highlight w:val="none"/>
          <w14:textFill>
            <w14:solidFill>
              <w14:schemeClr w14:val="tx1"/>
            </w14:solidFill>
          </w14:textFill>
        </w:rPr>
        <w:t>，采购代理机构可以对磋商文件进行修改。</w:t>
      </w:r>
    </w:p>
    <w:p w14:paraId="498597E3">
      <w:pPr>
        <w:spacing w:line="440" w:lineRule="exact"/>
        <w:ind w:firstLine="48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8.3采购代理机构有权按照法定的要求推迟响应文件递交截止日期和磋商日期。</w:t>
      </w:r>
    </w:p>
    <w:p w14:paraId="3161DC4F">
      <w:pPr>
        <w:spacing w:line="440" w:lineRule="exact"/>
        <w:ind w:firstLine="48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8.4磋商文件的修改将在原公告媒体上发布更正公告，</w:t>
      </w:r>
      <w:r>
        <w:rPr>
          <w:rFonts w:hint="eastAsia"/>
          <w:color w:val="000000" w:themeColor="text1"/>
          <w:sz w:val="24"/>
          <w:szCs w:val="21"/>
          <w:highlight w:val="none"/>
          <w14:textFill>
            <w14:solidFill>
              <w14:schemeClr w14:val="tx1"/>
            </w14:solidFill>
          </w14:textFill>
        </w:rPr>
        <w:t>更正公告内容将作为磋商文件的组成部分</w:t>
      </w:r>
      <w:r>
        <w:rPr>
          <w:rFonts w:hint="eastAsia"/>
          <w:bCs/>
          <w:color w:val="000000" w:themeColor="text1"/>
          <w:sz w:val="24"/>
          <w:highlight w:val="none"/>
          <w14:textFill>
            <w14:solidFill>
              <w14:schemeClr w14:val="tx1"/>
            </w14:solidFill>
          </w14:textFill>
        </w:rPr>
        <w:t>，并对供应商具有约束力，发布的更正公告视同为以书面形式通知所有获取招标文件的潜在供应商。</w:t>
      </w:r>
    </w:p>
    <w:p w14:paraId="257AEEB6">
      <w:pPr>
        <w:spacing w:line="440" w:lineRule="exact"/>
        <w:ind w:firstLine="48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8.5供应商应及时登录“苏采云”系统获取澄清答疑文件（修改后磋商文件），如因供应商原因未能及时下载澄清和修改后的磋商文件，由此造成的相关责任，由供应商承担。</w:t>
      </w:r>
    </w:p>
    <w:p w14:paraId="432A889B">
      <w:pPr>
        <w:keepNext/>
        <w:keepLines/>
        <w:spacing w:line="440" w:lineRule="exact"/>
        <w:ind w:firstLine="482"/>
        <w:outlineLvl w:val="1"/>
        <w:rPr>
          <w:b/>
          <w:bCs/>
          <w:color w:val="000000" w:themeColor="text1"/>
          <w:sz w:val="32"/>
          <w:szCs w:val="32"/>
          <w:highlight w:val="none"/>
          <w14:textFill>
            <w14:solidFill>
              <w14:schemeClr w14:val="tx1"/>
            </w14:solidFill>
          </w14:textFill>
        </w:rPr>
      </w:pPr>
      <w:bookmarkStart w:id="102" w:name="_Toc462564072"/>
      <w:bookmarkStart w:id="103" w:name="_Toc513029213"/>
      <w:bookmarkStart w:id="104" w:name="_Toc20823285"/>
      <w:bookmarkStart w:id="105" w:name="_Toc120614216"/>
      <w:bookmarkStart w:id="106" w:name="_Toc16938529"/>
      <w:r>
        <w:rPr>
          <w:rFonts w:hint="eastAsia"/>
          <w:b/>
          <w:bCs/>
          <w:color w:val="000000" w:themeColor="text1"/>
          <w:sz w:val="32"/>
          <w:szCs w:val="32"/>
          <w:highlight w:val="none"/>
          <w14:textFill>
            <w14:solidFill>
              <w14:schemeClr w14:val="tx1"/>
            </w14:solidFill>
          </w14:textFill>
        </w:rPr>
        <w:t>三、响应文件的编制</w:t>
      </w:r>
      <w:bookmarkEnd w:id="102"/>
      <w:bookmarkEnd w:id="103"/>
      <w:bookmarkEnd w:id="104"/>
      <w:bookmarkEnd w:id="105"/>
      <w:bookmarkEnd w:id="106"/>
    </w:p>
    <w:p w14:paraId="05899E35">
      <w:pPr>
        <w:keepNext/>
        <w:keepLines/>
        <w:spacing w:line="440" w:lineRule="exact"/>
        <w:ind w:firstLine="560"/>
        <w:outlineLvl w:val="2"/>
        <w:rPr>
          <w:rFonts w:eastAsia="黑体" w:cs="Arial"/>
          <w:b/>
          <w:color w:val="000000" w:themeColor="text1"/>
          <w:sz w:val="28"/>
          <w:szCs w:val="28"/>
          <w:highlight w:val="none"/>
          <w14:textFill>
            <w14:solidFill>
              <w14:schemeClr w14:val="tx1"/>
            </w14:solidFill>
          </w14:textFill>
        </w:rPr>
      </w:pPr>
      <w:bookmarkStart w:id="107" w:name="_Toc462564073"/>
      <w:bookmarkStart w:id="108" w:name="_Toc16938530"/>
      <w:bookmarkStart w:id="109" w:name="_Toc20823286"/>
      <w:bookmarkStart w:id="110" w:name="_Toc513029214"/>
      <w:r>
        <w:rPr>
          <w:rFonts w:hint="eastAsia" w:eastAsia="黑体" w:cs="Arial"/>
          <w:color w:val="000000" w:themeColor="text1"/>
          <w:sz w:val="28"/>
          <w:szCs w:val="28"/>
          <w:highlight w:val="none"/>
          <w14:textFill>
            <w14:solidFill>
              <w14:schemeClr w14:val="tx1"/>
            </w14:solidFill>
          </w14:textFill>
        </w:rPr>
        <w:t>9、响应文件的语言及度量衡单位</w:t>
      </w:r>
      <w:bookmarkEnd w:id="107"/>
      <w:bookmarkEnd w:id="108"/>
      <w:bookmarkEnd w:id="109"/>
      <w:bookmarkEnd w:id="110"/>
    </w:p>
    <w:p w14:paraId="4DB07FF5">
      <w:pPr>
        <w:spacing w:line="440" w:lineRule="exact"/>
        <w:ind w:firstLine="480"/>
        <w:rPr>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9.1</w:t>
      </w:r>
      <w:r>
        <w:rPr>
          <w:rFonts w:hint="eastAsia"/>
          <w:color w:val="000000" w:themeColor="text1"/>
          <w:sz w:val="24"/>
          <w:szCs w:val="21"/>
          <w:highlight w:val="none"/>
          <w14:textFill>
            <w14:solidFill>
              <w14:schemeClr w14:val="tx1"/>
            </w14:solidFill>
          </w14:textFill>
        </w:rPr>
        <w:t>供应商提交的响应文件以及供应商与采购代理机构就有关磋商的所有来往通知、函件和文件均应使用</w:t>
      </w:r>
      <w:r>
        <w:rPr>
          <w:rFonts w:hint="eastAsia"/>
          <w:b/>
          <w:bCs/>
          <w:color w:val="000000" w:themeColor="text1"/>
          <w:sz w:val="24"/>
          <w:szCs w:val="21"/>
          <w:highlight w:val="none"/>
          <w14:textFill>
            <w14:solidFill>
              <w14:schemeClr w14:val="tx1"/>
            </w14:solidFill>
          </w14:textFill>
        </w:rPr>
        <w:t>简体中文</w:t>
      </w:r>
      <w:r>
        <w:rPr>
          <w:rFonts w:hint="eastAsia"/>
          <w:color w:val="000000" w:themeColor="text1"/>
          <w:sz w:val="24"/>
          <w:szCs w:val="21"/>
          <w:highlight w:val="none"/>
          <w14:textFill>
            <w14:solidFill>
              <w14:schemeClr w14:val="tx1"/>
            </w14:solidFill>
          </w14:textFill>
        </w:rPr>
        <w:t>。</w:t>
      </w:r>
    </w:p>
    <w:p w14:paraId="5DA1080E">
      <w:pPr>
        <w:spacing w:line="440" w:lineRule="exact"/>
        <w:ind w:firstLine="480"/>
        <w:rPr>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9.2</w:t>
      </w:r>
      <w:r>
        <w:rPr>
          <w:rFonts w:hint="eastAsia"/>
          <w:color w:val="000000" w:themeColor="text1"/>
          <w:sz w:val="24"/>
          <w:szCs w:val="21"/>
          <w:highlight w:val="none"/>
          <w14:textFill>
            <w14:solidFill>
              <w14:schemeClr w14:val="tx1"/>
            </w14:solidFill>
          </w14:textFill>
        </w:rPr>
        <w:t xml:space="preserve"> 除技术性能另有规定外，响应文件所使用的度量衡单位，均须采用国家法定计量单位。</w:t>
      </w:r>
    </w:p>
    <w:p w14:paraId="5FC22FE6">
      <w:pPr>
        <w:keepNext/>
        <w:keepLines/>
        <w:spacing w:line="440" w:lineRule="exact"/>
        <w:ind w:firstLine="420"/>
        <w:outlineLvl w:val="2"/>
        <w:rPr>
          <w:rFonts w:eastAsia="黑体" w:cs="Arial"/>
          <w:color w:val="000000" w:themeColor="text1"/>
          <w:sz w:val="28"/>
          <w:szCs w:val="28"/>
          <w:highlight w:val="none"/>
          <w14:textFill>
            <w14:solidFill>
              <w14:schemeClr w14:val="tx1"/>
            </w14:solidFill>
          </w14:textFill>
        </w:rPr>
      </w:pPr>
      <w:bookmarkStart w:id="111" w:name="_Toc513029215"/>
      <w:bookmarkStart w:id="112" w:name="_Toc16938531"/>
      <w:bookmarkStart w:id="113" w:name="_Toc20823287"/>
      <w:bookmarkStart w:id="114" w:name="_Toc462564074"/>
      <w:r>
        <w:rPr>
          <w:rFonts w:hint="eastAsia" w:eastAsia="黑体" w:cs="Arial"/>
          <w:color w:val="000000" w:themeColor="text1"/>
          <w:sz w:val="28"/>
          <w:szCs w:val="28"/>
          <w:highlight w:val="none"/>
          <w14:textFill>
            <w14:solidFill>
              <w14:schemeClr w14:val="tx1"/>
            </w14:solidFill>
          </w14:textFill>
        </w:rPr>
        <w:t>10、响应文件构成</w:t>
      </w:r>
      <w:bookmarkEnd w:id="111"/>
      <w:bookmarkEnd w:id="112"/>
      <w:bookmarkEnd w:id="113"/>
      <w:bookmarkEnd w:id="114"/>
    </w:p>
    <w:p w14:paraId="5FEA6302">
      <w:pPr>
        <w:spacing w:line="440" w:lineRule="exact"/>
        <w:ind w:firstLine="480"/>
        <w:rPr>
          <w:bCs/>
          <w:color w:val="000000" w:themeColor="text1"/>
          <w:sz w:val="24"/>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10.1</w:t>
      </w:r>
      <w:r>
        <w:rPr>
          <w:rFonts w:hint="eastAsia"/>
          <w:bCs/>
          <w:color w:val="000000" w:themeColor="text1"/>
          <w:sz w:val="24"/>
          <w:highlight w:val="none"/>
          <w14:textFill>
            <w14:solidFill>
              <w14:schemeClr w14:val="tx1"/>
            </w14:solidFill>
          </w14:textFill>
        </w:rPr>
        <w:t>供应商应仔细阅读“磋商文件”的所有内容，按“磋商文件”第六章“响应文件格式”编制“电子响应文件”，如有必要，可以增加附页，作为响应文件的组成部分。本次磋商不接受纸质响应文件。供应商须保证所提供的全部资料的真实性、完整性及有效性，以使其投标对“磋商文件”作出实质性响应。否则，可能被拒绝。</w:t>
      </w:r>
    </w:p>
    <w:p w14:paraId="154C5D4B">
      <w:pPr>
        <w:spacing w:line="440" w:lineRule="exact"/>
        <w:ind w:firstLine="480"/>
        <w:rPr>
          <w:color w:val="000000" w:themeColor="text1"/>
          <w:sz w:val="24"/>
          <w:szCs w:val="21"/>
          <w:highlight w:val="none"/>
          <w14:textFill>
            <w14:solidFill>
              <w14:schemeClr w14:val="tx1"/>
            </w14:solidFill>
          </w14:textFill>
        </w:rPr>
      </w:pPr>
      <w:r>
        <w:rPr>
          <w:rFonts w:hint="eastAsia"/>
          <w:bCs/>
          <w:color w:val="000000" w:themeColor="text1"/>
          <w:sz w:val="24"/>
          <w:highlight w:val="none"/>
          <w:lang w:val="zh-CN"/>
          <w14:textFill>
            <w14:solidFill>
              <w14:schemeClr w14:val="tx1"/>
            </w14:solidFill>
          </w14:textFill>
        </w:rPr>
        <w:t>各供应商在编制</w:t>
      </w:r>
      <w:r>
        <w:rPr>
          <w:rFonts w:hint="eastAsia"/>
          <w:bCs/>
          <w:color w:val="000000" w:themeColor="text1"/>
          <w:sz w:val="24"/>
          <w:highlight w:val="none"/>
          <w14:textFill>
            <w14:solidFill>
              <w14:schemeClr w14:val="tx1"/>
            </w14:solidFill>
          </w14:textFill>
        </w:rPr>
        <w:t>响应文件</w:t>
      </w:r>
      <w:r>
        <w:rPr>
          <w:rFonts w:hint="eastAsia"/>
          <w:bCs/>
          <w:color w:val="000000" w:themeColor="text1"/>
          <w:sz w:val="24"/>
          <w:highlight w:val="none"/>
          <w:lang w:val="zh-CN"/>
          <w14:textFill>
            <w14:solidFill>
              <w14:schemeClr w14:val="tx1"/>
            </w14:solidFill>
          </w14:textFill>
        </w:rPr>
        <w:t>时请按照磋商文件第六</w:t>
      </w:r>
      <w:r>
        <w:rPr>
          <w:rFonts w:hint="eastAsia"/>
          <w:bCs/>
          <w:color w:val="000000" w:themeColor="text1"/>
          <w:sz w:val="24"/>
          <w:highlight w:val="none"/>
          <w14:textFill>
            <w14:solidFill>
              <w14:schemeClr w14:val="tx1"/>
            </w14:solidFill>
          </w14:textFill>
        </w:rPr>
        <w:t>章</w:t>
      </w:r>
      <w:r>
        <w:rPr>
          <w:rFonts w:hint="eastAsia"/>
          <w:bCs/>
          <w:color w:val="000000" w:themeColor="text1"/>
          <w:sz w:val="24"/>
          <w:highlight w:val="none"/>
          <w:lang w:val="zh-CN"/>
          <w14:textFill>
            <w14:solidFill>
              <w14:schemeClr w14:val="tx1"/>
            </w14:solidFill>
          </w14:textFill>
        </w:rPr>
        <w:t>规定的格式进行，混乱的编排导致</w:t>
      </w:r>
      <w:r>
        <w:rPr>
          <w:rFonts w:hint="eastAsia"/>
          <w:bCs/>
          <w:color w:val="000000" w:themeColor="text1"/>
          <w:sz w:val="24"/>
          <w:highlight w:val="none"/>
          <w14:textFill>
            <w14:solidFill>
              <w14:schemeClr w14:val="tx1"/>
            </w14:solidFill>
          </w14:textFill>
        </w:rPr>
        <w:t>响应</w:t>
      </w:r>
      <w:r>
        <w:rPr>
          <w:rFonts w:hint="eastAsia"/>
          <w:bCs/>
          <w:color w:val="000000" w:themeColor="text1"/>
          <w:sz w:val="24"/>
          <w:highlight w:val="none"/>
          <w:lang w:val="zh-CN"/>
          <w14:textFill>
            <w14:solidFill>
              <w14:schemeClr w14:val="tx1"/>
            </w14:solidFill>
          </w14:textFill>
        </w:rPr>
        <w:t>文件被误读或磋商小组查找不到有效文件是供应商的风险。</w:t>
      </w:r>
    </w:p>
    <w:p w14:paraId="58F9214D">
      <w:pPr>
        <w:spacing w:line="440" w:lineRule="exact"/>
        <w:ind w:firstLine="480"/>
        <w:rPr>
          <w:color w:val="000000" w:themeColor="text1"/>
          <w:sz w:val="24"/>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10.2</w:t>
      </w:r>
      <w:r>
        <w:rPr>
          <w:rFonts w:hint="eastAsia"/>
          <w:color w:val="000000" w:themeColor="text1"/>
          <w:sz w:val="24"/>
          <w:highlight w:val="none"/>
          <w14:textFill>
            <w14:solidFill>
              <w14:schemeClr w14:val="tx1"/>
            </w14:solidFill>
          </w14:textFill>
        </w:rPr>
        <w:t>供应商编写的响应文件应包括资格证明文件、分项报价表、响应及偏离表、其他证明文件、磋商申请及声明函、开标一览表等部分。</w:t>
      </w:r>
    </w:p>
    <w:p w14:paraId="7FF23CD2">
      <w:pPr>
        <w:spacing w:line="440" w:lineRule="exact"/>
        <w:ind w:firstLine="48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10.3响应文件须加盖电子签章之处，应按要求加盖</w:t>
      </w:r>
      <w:r>
        <w:rPr>
          <w:rFonts w:hint="eastAsia"/>
          <w:bCs/>
          <w:color w:val="000000" w:themeColor="text1"/>
          <w:sz w:val="24"/>
          <w:highlight w:val="none"/>
          <w:lang w:val="zh-CN"/>
          <w14:textFill>
            <w14:solidFill>
              <w14:schemeClr w14:val="tx1"/>
            </w14:solidFill>
          </w14:textFill>
        </w:rPr>
        <w:t>供应商</w:t>
      </w:r>
      <w:r>
        <w:rPr>
          <w:rFonts w:hint="eastAsia"/>
          <w:bCs/>
          <w:color w:val="000000" w:themeColor="text1"/>
          <w:sz w:val="24"/>
          <w:highlight w:val="none"/>
          <w14:textFill>
            <w14:solidFill>
              <w14:schemeClr w14:val="tx1"/>
            </w14:solidFill>
          </w14:textFill>
        </w:rPr>
        <w:t>数字证书的电子签章。其他需要盖章但未明确要求电子签章的，</w:t>
      </w:r>
      <w:r>
        <w:rPr>
          <w:rFonts w:hint="eastAsia"/>
          <w:bCs/>
          <w:color w:val="000000" w:themeColor="text1"/>
          <w:sz w:val="24"/>
          <w:highlight w:val="none"/>
          <w:lang w:val="zh-CN"/>
          <w14:textFill>
            <w14:solidFill>
              <w14:schemeClr w14:val="tx1"/>
            </w14:solidFill>
          </w14:textFill>
        </w:rPr>
        <w:t>供应商</w:t>
      </w:r>
      <w:r>
        <w:rPr>
          <w:rFonts w:hint="eastAsia"/>
          <w:bCs/>
          <w:color w:val="000000" w:themeColor="text1"/>
          <w:sz w:val="24"/>
          <w:highlight w:val="none"/>
          <w14:textFill>
            <w14:solidFill>
              <w14:schemeClr w14:val="tx1"/>
            </w14:solidFill>
          </w14:textFill>
        </w:rPr>
        <w:t xml:space="preserve">可按要求加盖公章后上传材料电子件或直接加盖电子签章。 </w:t>
      </w:r>
    </w:p>
    <w:p w14:paraId="736182ED">
      <w:pPr>
        <w:spacing w:line="440" w:lineRule="exact"/>
        <w:ind w:firstLine="48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10.4本项目通过“苏采云”系统进行电子招标投标，即</w:t>
      </w:r>
      <w:r>
        <w:rPr>
          <w:rFonts w:hint="eastAsia"/>
          <w:bCs/>
          <w:color w:val="000000" w:themeColor="text1"/>
          <w:sz w:val="24"/>
          <w:highlight w:val="none"/>
          <w:lang w:val="zh-CN"/>
          <w14:textFill>
            <w14:solidFill>
              <w14:schemeClr w14:val="tx1"/>
            </w14:solidFill>
          </w14:textFill>
        </w:rPr>
        <w:t>供应商</w:t>
      </w:r>
      <w:r>
        <w:rPr>
          <w:rFonts w:hint="eastAsia"/>
          <w:bCs/>
          <w:color w:val="000000" w:themeColor="text1"/>
          <w:sz w:val="24"/>
          <w:highlight w:val="none"/>
          <w14:textFill>
            <w14:solidFill>
              <w14:schemeClr w14:val="tx1"/>
            </w14:solidFill>
          </w14:textFill>
        </w:rPr>
        <w:t>应当通过“苏采云”系统提交数据电文形式的响应文件（即电子投标）。响应文件使用政府采购客户端工具制作并通过“苏采云”系统提交，未进行响应文件提交并解密的</w:t>
      </w:r>
      <w:r>
        <w:rPr>
          <w:rFonts w:hint="eastAsia"/>
          <w:bCs/>
          <w:color w:val="000000" w:themeColor="text1"/>
          <w:sz w:val="24"/>
          <w:highlight w:val="none"/>
          <w:lang w:val="zh-CN"/>
          <w14:textFill>
            <w14:solidFill>
              <w14:schemeClr w14:val="tx1"/>
            </w14:solidFill>
          </w14:textFill>
        </w:rPr>
        <w:t>供应商</w:t>
      </w:r>
      <w:r>
        <w:rPr>
          <w:rFonts w:hint="eastAsia"/>
          <w:bCs/>
          <w:color w:val="000000" w:themeColor="text1"/>
          <w:sz w:val="24"/>
          <w:highlight w:val="none"/>
          <w14:textFill>
            <w14:solidFill>
              <w14:schemeClr w14:val="tx1"/>
            </w14:solidFill>
          </w14:textFill>
        </w:rPr>
        <w:t>，按照无效响应处理（因“苏采云”系统导致解密失败的除外）。</w:t>
      </w:r>
    </w:p>
    <w:p w14:paraId="1B83A992">
      <w:pPr>
        <w:spacing w:line="440" w:lineRule="exact"/>
        <w:ind w:firstLine="48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10.5如标书制作工具中格式和内容与“宿迁市政府采购网”发布的磋商文件不一致，请以“宿迁市政府采购网”发布的磋商文件为准。</w:t>
      </w:r>
    </w:p>
    <w:p w14:paraId="7B9151BB">
      <w:pPr>
        <w:spacing w:line="440" w:lineRule="exact"/>
        <w:ind w:firstLine="48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10.6成交后按相关要求提供与电子响应文件一致的纸质打印响应文件3份。 </w:t>
      </w:r>
    </w:p>
    <w:p w14:paraId="40E51566">
      <w:pPr>
        <w:spacing w:line="440" w:lineRule="exact"/>
        <w:ind w:firstLine="480"/>
        <w:rPr>
          <w:color w:val="000000" w:themeColor="text1"/>
          <w:sz w:val="24"/>
          <w:highlight w:val="none"/>
          <w14:textFill>
            <w14:solidFill>
              <w14:schemeClr w14:val="tx1"/>
            </w14:solidFill>
          </w14:textFill>
        </w:rPr>
      </w:pPr>
      <w:bookmarkStart w:id="115" w:name="EBc50e2bb832bb43068403b10c1cce6141"/>
      <w:r>
        <w:rPr>
          <w:rFonts w:hint="eastAsia"/>
          <w:bCs/>
          <w:color w:val="000000" w:themeColor="text1"/>
          <w:sz w:val="24"/>
          <w:highlight w:val="none"/>
          <w14:textFill>
            <w14:solidFill>
              <w14:schemeClr w14:val="tx1"/>
            </w14:solidFill>
          </w14:textFill>
        </w:rPr>
        <w:t>注：（1）响应文件构成资料为非中文时应提供中文译版；（2）磋商文件要求提供证书证件等原件电子件的，供应商提供的电子件应是对证书证件等原件通过扫描、拍照等方式进行数字化的可被“苏采云”系统识别的数字文件，否则磋商小组可以视其未提供。（3）无论何种原因，即使供应商磋商时携带了证书证明资料的原件，但电子响应文件中未包含相关资料电子件的，磋商小组可以视同其未提供。</w:t>
      </w:r>
      <w:bookmarkEnd w:id="115"/>
    </w:p>
    <w:p w14:paraId="452CF9B5">
      <w:pPr>
        <w:keepNext/>
        <w:keepLines/>
        <w:spacing w:line="440" w:lineRule="exact"/>
        <w:ind w:firstLine="420"/>
        <w:outlineLvl w:val="2"/>
        <w:rPr>
          <w:rFonts w:eastAsia="黑体" w:cs="Arial"/>
          <w:color w:val="000000" w:themeColor="text1"/>
          <w:sz w:val="28"/>
          <w:szCs w:val="28"/>
          <w:highlight w:val="none"/>
          <w14:textFill>
            <w14:solidFill>
              <w14:schemeClr w14:val="tx1"/>
            </w14:solidFill>
          </w14:textFill>
        </w:rPr>
      </w:pPr>
      <w:bookmarkStart w:id="116" w:name="_Hlt26670360"/>
      <w:bookmarkEnd w:id="116"/>
      <w:bookmarkStart w:id="117" w:name="_Hlt26954838"/>
      <w:bookmarkEnd w:id="117"/>
      <w:bookmarkStart w:id="118" w:name="_Hlt26668975"/>
      <w:bookmarkEnd w:id="118"/>
      <w:bookmarkStart w:id="119" w:name="_Toc14577354"/>
      <w:bookmarkStart w:id="120" w:name="_Toc513029216"/>
      <w:bookmarkStart w:id="121" w:name="_Toc49090507"/>
      <w:bookmarkStart w:id="122" w:name="_Toc513029219"/>
      <w:bookmarkStart w:id="123" w:name="_Toc49090509"/>
      <w:bookmarkStart w:id="124" w:name="_Toc14577357"/>
      <w:bookmarkStart w:id="125" w:name="_Toc49090508"/>
      <w:bookmarkStart w:id="126" w:name="_Toc14577355"/>
      <w:r>
        <w:rPr>
          <w:rFonts w:hint="eastAsia" w:eastAsia="黑体" w:cs="Arial"/>
          <w:color w:val="000000" w:themeColor="text1"/>
          <w:sz w:val="28"/>
          <w:szCs w:val="28"/>
          <w:highlight w:val="none"/>
          <w14:textFill>
            <w14:solidFill>
              <w14:schemeClr w14:val="tx1"/>
            </w14:solidFill>
          </w14:textFill>
        </w:rPr>
        <w:t>11、证明磋商响应标的符合磋商文件规定的文件</w:t>
      </w:r>
      <w:bookmarkEnd w:id="119"/>
      <w:bookmarkEnd w:id="120"/>
      <w:bookmarkEnd w:id="121"/>
      <w:bookmarkEnd w:id="122"/>
      <w:bookmarkEnd w:id="123"/>
      <w:bookmarkEnd w:id="124"/>
    </w:p>
    <w:p w14:paraId="333EE985">
      <w:pPr>
        <w:spacing w:line="440" w:lineRule="exact"/>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11.1供应商应按照磋商文件要求提交证明文件，证明其及磋商响应标的符合磋商文件规定。</w:t>
      </w:r>
    </w:p>
    <w:p w14:paraId="1CFAF70D">
      <w:pPr>
        <w:spacing w:line="440" w:lineRule="exact"/>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11.2磋商文件对证明文件无明确形式要求的，证明文件可以以文字资料、图纸和数据等形式提交。</w:t>
      </w:r>
    </w:p>
    <w:bookmarkEnd w:id="125"/>
    <w:bookmarkEnd w:id="126"/>
    <w:p w14:paraId="7287093A">
      <w:pPr>
        <w:keepNext/>
        <w:keepLines/>
        <w:spacing w:line="440" w:lineRule="exact"/>
        <w:ind w:firstLine="420"/>
        <w:outlineLvl w:val="2"/>
        <w:rPr>
          <w:rFonts w:hint="eastAsia" w:eastAsia="黑体" w:cs="Arial"/>
          <w:color w:val="000000" w:themeColor="text1"/>
          <w:sz w:val="28"/>
          <w:szCs w:val="28"/>
          <w:highlight w:val="none"/>
          <w14:textFill>
            <w14:solidFill>
              <w14:schemeClr w14:val="tx1"/>
            </w14:solidFill>
          </w14:textFill>
        </w:rPr>
      </w:pPr>
      <w:r>
        <w:rPr>
          <w:rFonts w:hint="eastAsia" w:eastAsia="黑体" w:cs="Arial"/>
          <w:color w:val="000000" w:themeColor="text1"/>
          <w:sz w:val="28"/>
          <w:szCs w:val="28"/>
          <w:highlight w:val="none"/>
          <w14:textFill>
            <w14:solidFill>
              <w14:schemeClr w14:val="tx1"/>
            </w14:solidFill>
          </w14:textFill>
        </w:rPr>
        <w:t>12、明细报价表</w:t>
      </w:r>
    </w:p>
    <w:p w14:paraId="331EF406">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12.1</w:t>
      </w:r>
      <w:r>
        <w:rPr>
          <w:rFonts w:hint="eastAsia"/>
          <w:color w:val="000000" w:themeColor="text1"/>
          <w:sz w:val="24"/>
          <w:szCs w:val="21"/>
          <w:highlight w:val="none"/>
          <w14:textFill>
            <w14:solidFill>
              <w14:schemeClr w14:val="tx1"/>
            </w14:solidFill>
          </w14:textFill>
        </w:rPr>
        <w:t>供应商应按照磋商文件规定格式填报工程量固化清单。</w:t>
      </w:r>
    </w:p>
    <w:p w14:paraId="4A69DB05">
      <w:pPr>
        <w:spacing w:line="440" w:lineRule="exact"/>
        <w:ind w:firstLine="480"/>
        <w:rPr>
          <w:bCs/>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12.2</w:t>
      </w:r>
      <w:r>
        <w:rPr>
          <w:rFonts w:hint="eastAsia"/>
          <w:bCs/>
          <w:color w:val="000000" w:themeColor="text1"/>
          <w:sz w:val="24"/>
          <w:szCs w:val="21"/>
          <w:highlight w:val="none"/>
          <w14:textFill>
            <w14:solidFill>
              <w14:schemeClr w14:val="tx1"/>
            </w14:solidFill>
          </w14:textFill>
        </w:rPr>
        <w:t>磋商货币。响应文件中的单价和总价无特殊规定的采用人民币报价，以元为单位标注。</w:t>
      </w:r>
      <w:r>
        <w:rPr>
          <w:rFonts w:hint="eastAsia"/>
          <w:color w:val="000000" w:themeColor="text1"/>
          <w:sz w:val="24"/>
          <w:szCs w:val="21"/>
          <w:highlight w:val="none"/>
          <w14:textFill>
            <w14:solidFill>
              <w14:schemeClr w14:val="tx1"/>
            </w14:solidFill>
          </w14:textFill>
        </w:rPr>
        <w:t>磋商文件中另有规定的按规定执行。</w:t>
      </w:r>
    </w:p>
    <w:p w14:paraId="77E56E9A">
      <w:pPr>
        <w:spacing w:line="440" w:lineRule="exact"/>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12.3本项目不接受备选的投标方案或有选择的报价，只允许有一个报价。供应商响应文件中的报价作为首次报价，不公开；以最后报价作为评审价。投标报价内容包括：</w:t>
      </w:r>
      <w:r>
        <w:rPr>
          <w:rFonts w:hint="eastAsia" w:cs="Courier New"/>
          <w:color w:val="000000" w:themeColor="text1"/>
          <w:sz w:val="24"/>
          <w:szCs w:val="24"/>
          <w:highlight w:val="none"/>
          <w14:textFill>
            <w14:solidFill>
              <w14:schemeClr w14:val="tx1"/>
            </w14:solidFill>
          </w14:textFill>
        </w:rPr>
        <w:t>应是招标范围内其所投标段的全部工程的投标价，并以供应商在工程量清单报价表中提出的单价或总额价为根据。供应商所报的单价或总额价应包括为实施和完成合同工程所需的人工费、材料费、安装调试费、机械使用费、间接费、利润、税金、规费、保险费、保修期内维修费用等费用以及合同明示或暗示的所有责任、义务和一般风险</w:t>
      </w:r>
      <w:r>
        <w:rPr>
          <w:rFonts w:hint="eastAsia" w:ascii="宋体" w:hAnsi="宋体" w:cs="宋体"/>
          <w:bCs/>
          <w:color w:val="000000" w:themeColor="text1"/>
          <w:szCs w:val="21"/>
          <w:highlight w:val="none"/>
          <w14:textFill>
            <w14:solidFill>
              <w14:schemeClr w14:val="tx1"/>
            </w14:solidFill>
          </w14:textFill>
        </w:rPr>
        <w:t>。</w:t>
      </w:r>
    </w:p>
    <w:p w14:paraId="0A193B7F">
      <w:pPr>
        <w:spacing w:line="440" w:lineRule="exact"/>
        <w:ind w:firstLine="420"/>
        <w:outlineLvl w:val="2"/>
        <w:rPr>
          <w:rFonts w:eastAsia="黑体" w:cs="Arial"/>
          <w:color w:val="000000" w:themeColor="text1"/>
          <w:sz w:val="28"/>
          <w:szCs w:val="28"/>
          <w:highlight w:val="none"/>
          <w14:textFill>
            <w14:solidFill>
              <w14:schemeClr w14:val="tx1"/>
            </w14:solidFill>
          </w14:textFill>
        </w:rPr>
      </w:pPr>
      <w:bookmarkStart w:id="127" w:name="_Hlt26670482"/>
      <w:bookmarkEnd w:id="127"/>
      <w:bookmarkStart w:id="128" w:name="_Hlt26954848"/>
      <w:bookmarkEnd w:id="128"/>
      <w:bookmarkStart w:id="129" w:name="_Hlt26670486"/>
      <w:bookmarkEnd w:id="129"/>
      <w:bookmarkStart w:id="130" w:name="_Hlt26954731"/>
      <w:bookmarkEnd w:id="130"/>
      <w:bookmarkStart w:id="131" w:name="_Hlt26954846"/>
      <w:bookmarkEnd w:id="131"/>
      <w:r>
        <w:rPr>
          <w:rFonts w:hint="eastAsia" w:eastAsia="黑体" w:cs="Arial"/>
          <w:color w:val="000000" w:themeColor="text1"/>
          <w:sz w:val="28"/>
          <w:szCs w:val="28"/>
          <w:highlight w:val="none"/>
          <w14:textFill>
            <w14:solidFill>
              <w14:schemeClr w14:val="tx1"/>
            </w14:solidFill>
          </w14:textFill>
        </w:rPr>
        <w:t>13、技术要求响应及偏离表、商务要求响应及偏离表</w:t>
      </w:r>
    </w:p>
    <w:p w14:paraId="3929849D">
      <w:pPr>
        <w:spacing w:line="440" w:lineRule="exact"/>
        <w:ind w:firstLine="420"/>
        <w:rPr>
          <w:rFonts w:cs="Courier New"/>
          <w:color w:val="000000" w:themeColor="text1"/>
          <w:sz w:val="24"/>
          <w:szCs w:val="24"/>
          <w:highlight w:val="none"/>
          <w14:textFill>
            <w14:solidFill>
              <w14:schemeClr w14:val="tx1"/>
            </w14:solidFill>
          </w14:textFill>
        </w:rPr>
      </w:pPr>
      <w:r>
        <w:rPr>
          <w:rFonts w:hint="eastAsia" w:cs="Courier New"/>
          <w:color w:val="000000" w:themeColor="text1"/>
          <w:sz w:val="24"/>
          <w:szCs w:val="24"/>
          <w:highlight w:val="none"/>
          <w14:textFill>
            <w14:solidFill>
              <w14:schemeClr w14:val="tx1"/>
            </w14:solidFill>
          </w14:textFill>
        </w:rPr>
        <w:t>13.1供应商需对磋商文件中的技术要求与商务要求逐项作出响应或偏离，并说明原因。</w:t>
      </w:r>
    </w:p>
    <w:p w14:paraId="12692C53">
      <w:pPr>
        <w:spacing w:line="440" w:lineRule="exact"/>
        <w:ind w:firstLine="420"/>
        <w:rPr>
          <w:rFonts w:cs="Courier New"/>
          <w:color w:val="000000" w:themeColor="text1"/>
          <w:sz w:val="24"/>
          <w:szCs w:val="24"/>
          <w:highlight w:val="none"/>
          <w14:textFill>
            <w14:solidFill>
              <w14:schemeClr w14:val="tx1"/>
            </w14:solidFill>
          </w14:textFill>
        </w:rPr>
      </w:pPr>
      <w:r>
        <w:rPr>
          <w:rFonts w:hint="eastAsia" w:cs="Courier New"/>
          <w:color w:val="000000" w:themeColor="text1"/>
          <w:sz w:val="24"/>
          <w:szCs w:val="24"/>
          <w:highlight w:val="none"/>
          <w14:textFill>
            <w14:solidFill>
              <w14:schemeClr w14:val="tx1"/>
            </w14:solidFill>
          </w14:textFill>
        </w:rPr>
        <w:t>13.2供应商可在响应文件中提供认为需要的其他技术文件或说明。</w:t>
      </w:r>
    </w:p>
    <w:p w14:paraId="38246FF7">
      <w:pPr>
        <w:spacing w:line="440" w:lineRule="exact"/>
        <w:ind w:firstLine="420"/>
        <w:outlineLvl w:val="2"/>
        <w:rPr>
          <w:rFonts w:eastAsia="黑体" w:cs="Arial"/>
          <w:color w:val="000000" w:themeColor="text1"/>
          <w:sz w:val="28"/>
          <w:szCs w:val="28"/>
          <w:highlight w:val="none"/>
          <w14:textFill>
            <w14:solidFill>
              <w14:schemeClr w14:val="tx1"/>
            </w14:solidFill>
          </w14:textFill>
        </w:rPr>
      </w:pPr>
      <w:r>
        <w:rPr>
          <w:rFonts w:hint="eastAsia" w:eastAsia="黑体" w:cs="Arial"/>
          <w:color w:val="000000" w:themeColor="text1"/>
          <w:sz w:val="28"/>
          <w:szCs w:val="28"/>
          <w:highlight w:val="none"/>
          <w14:textFill>
            <w14:solidFill>
              <w14:schemeClr w14:val="tx1"/>
            </w14:solidFill>
          </w14:textFill>
        </w:rPr>
        <w:t>14、服务承诺、培训计划、人员安排及其他</w:t>
      </w:r>
    </w:p>
    <w:p w14:paraId="320F917F">
      <w:pPr>
        <w:spacing w:line="440" w:lineRule="exact"/>
        <w:ind w:firstLine="420"/>
        <w:rPr>
          <w:rFonts w:cs="Courier New"/>
          <w:color w:val="000000" w:themeColor="text1"/>
          <w:sz w:val="24"/>
          <w:szCs w:val="24"/>
          <w:highlight w:val="none"/>
          <w14:textFill>
            <w14:solidFill>
              <w14:schemeClr w14:val="tx1"/>
            </w14:solidFill>
          </w14:textFill>
        </w:rPr>
      </w:pPr>
      <w:bookmarkStart w:id="132" w:name="_Toc49090510"/>
      <w:bookmarkStart w:id="133" w:name="_Toc14577359"/>
      <w:r>
        <w:rPr>
          <w:rFonts w:hint="eastAsia" w:cs="Courier New"/>
          <w:color w:val="000000" w:themeColor="text1"/>
          <w:sz w:val="24"/>
          <w:szCs w:val="24"/>
          <w:highlight w:val="none"/>
          <w14:textFill>
            <w14:solidFill>
              <w14:schemeClr w14:val="tx1"/>
            </w14:solidFill>
          </w14:textFill>
        </w:rPr>
        <w:t>14.1供应商需根据磋商文件要求提供有关售后服务的管理制度，售后服务机构的分布情况，售后服务人员的数量、素质、技术水平及售后服务的反应能力等。</w:t>
      </w:r>
    </w:p>
    <w:p w14:paraId="118B7238">
      <w:pPr>
        <w:spacing w:line="440" w:lineRule="exact"/>
        <w:ind w:firstLine="420"/>
        <w:rPr>
          <w:rFonts w:cs="Courier New"/>
          <w:color w:val="000000" w:themeColor="text1"/>
          <w:sz w:val="24"/>
          <w:szCs w:val="24"/>
          <w:highlight w:val="none"/>
          <w14:textFill>
            <w14:solidFill>
              <w14:schemeClr w14:val="tx1"/>
            </w14:solidFill>
          </w14:textFill>
        </w:rPr>
      </w:pPr>
      <w:r>
        <w:rPr>
          <w:rFonts w:hint="eastAsia" w:cs="Courier New"/>
          <w:color w:val="000000" w:themeColor="text1"/>
          <w:sz w:val="24"/>
          <w:szCs w:val="24"/>
          <w:highlight w:val="none"/>
          <w14:textFill>
            <w14:solidFill>
              <w14:schemeClr w14:val="tx1"/>
            </w14:solidFill>
          </w14:textFill>
        </w:rPr>
        <w:t>14.2供应商需根据磋商文件要求提供培训计划。</w:t>
      </w:r>
    </w:p>
    <w:p w14:paraId="5F50E73C">
      <w:pPr>
        <w:spacing w:line="440" w:lineRule="exact"/>
        <w:ind w:firstLine="420"/>
        <w:rPr>
          <w:rFonts w:cs="Courier New"/>
          <w:color w:val="000000" w:themeColor="text1"/>
          <w:sz w:val="24"/>
          <w:szCs w:val="24"/>
          <w:highlight w:val="none"/>
          <w14:textFill>
            <w14:solidFill>
              <w14:schemeClr w14:val="tx1"/>
            </w14:solidFill>
          </w14:textFill>
        </w:rPr>
      </w:pPr>
      <w:r>
        <w:rPr>
          <w:rFonts w:hint="eastAsia" w:cs="Courier New"/>
          <w:color w:val="000000" w:themeColor="text1"/>
          <w:sz w:val="24"/>
          <w:szCs w:val="24"/>
          <w:highlight w:val="none"/>
          <w14:textFill>
            <w14:solidFill>
              <w14:schemeClr w14:val="tx1"/>
            </w14:solidFill>
          </w14:textFill>
        </w:rPr>
        <w:t>14.3供应商需根据磋商文件要求提供磋商响应标的的主要组成部分、功能设计、实现思路及关键技术等。</w:t>
      </w:r>
    </w:p>
    <w:p w14:paraId="17A88A94">
      <w:pPr>
        <w:spacing w:line="440" w:lineRule="exact"/>
        <w:ind w:firstLine="420"/>
        <w:outlineLvl w:val="2"/>
        <w:rPr>
          <w:rFonts w:eastAsia="黑体" w:cs="Arial"/>
          <w:color w:val="000000" w:themeColor="text1"/>
          <w:sz w:val="28"/>
          <w:szCs w:val="28"/>
          <w:highlight w:val="none"/>
          <w14:textFill>
            <w14:solidFill>
              <w14:schemeClr w14:val="tx1"/>
            </w14:solidFill>
          </w14:textFill>
        </w:rPr>
      </w:pPr>
      <w:r>
        <w:rPr>
          <w:rFonts w:hint="eastAsia" w:eastAsia="黑体" w:cs="Arial"/>
          <w:color w:val="000000" w:themeColor="text1"/>
          <w:sz w:val="28"/>
          <w:szCs w:val="28"/>
          <w:highlight w:val="none"/>
          <w14:textFill>
            <w14:solidFill>
              <w14:schemeClr w14:val="tx1"/>
            </w14:solidFill>
          </w14:textFill>
        </w:rPr>
        <w:t>15、磋商响应函</w:t>
      </w:r>
    </w:p>
    <w:p w14:paraId="07C5A245">
      <w:pPr>
        <w:spacing w:line="440" w:lineRule="exact"/>
        <w:ind w:firstLine="480"/>
        <w:rPr>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15.1</w:t>
      </w:r>
      <w:r>
        <w:rPr>
          <w:rFonts w:hint="eastAsia"/>
          <w:color w:val="000000" w:themeColor="text1"/>
          <w:sz w:val="24"/>
          <w:szCs w:val="21"/>
          <w:highlight w:val="none"/>
          <w14:textFill>
            <w14:solidFill>
              <w14:schemeClr w14:val="tx1"/>
            </w14:solidFill>
          </w14:textFill>
        </w:rPr>
        <w:t>供应商应按照磋商文件中提供的格式完整、正确填写磋商响应函。</w:t>
      </w:r>
    </w:p>
    <w:bookmarkEnd w:id="132"/>
    <w:bookmarkEnd w:id="133"/>
    <w:p w14:paraId="08F10DBB">
      <w:pPr>
        <w:spacing w:line="440" w:lineRule="exact"/>
        <w:ind w:firstLine="420"/>
        <w:outlineLvl w:val="2"/>
        <w:rPr>
          <w:rFonts w:eastAsia="黑体" w:cs="Arial"/>
          <w:color w:val="000000" w:themeColor="text1"/>
          <w:sz w:val="28"/>
          <w:szCs w:val="28"/>
          <w:highlight w:val="none"/>
          <w14:textFill>
            <w14:solidFill>
              <w14:schemeClr w14:val="tx1"/>
            </w14:solidFill>
          </w14:textFill>
        </w:rPr>
      </w:pPr>
      <w:bookmarkStart w:id="134" w:name="_Toc49090511"/>
      <w:bookmarkStart w:id="135" w:name="_Toc14577360"/>
      <w:r>
        <w:rPr>
          <w:rFonts w:hint="eastAsia" w:eastAsia="黑体" w:cs="Arial"/>
          <w:color w:val="000000" w:themeColor="text1"/>
          <w:sz w:val="28"/>
          <w:szCs w:val="28"/>
          <w:highlight w:val="none"/>
          <w14:textFill>
            <w14:solidFill>
              <w14:schemeClr w14:val="tx1"/>
            </w14:solidFill>
          </w14:textFill>
        </w:rPr>
        <w:t>16、磋商有效期</w:t>
      </w:r>
      <w:bookmarkEnd w:id="134"/>
      <w:bookmarkEnd w:id="135"/>
    </w:p>
    <w:p w14:paraId="76448000">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16.1磋商有效期为提交响应文件截止之日后</w:t>
      </w:r>
      <w:r>
        <w:rPr>
          <w:rFonts w:hint="eastAsia"/>
          <w:b/>
          <w:color w:val="000000" w:themeColor="text1"/>
          <w:sz w:val="24"/>
          <w:szCs w:val="21"/>
          <w:highlight w:val="none"/>
          <w:u w:val="single"/>
          <w14:textFill>
            <w14:solidFill>
              <w14:schemeClr w14:val="tx1"/>
            </w14:solidFill>
          </w14:textFill>
        </w:rPr>
        <w:t>六十（60）天</w:t>
      </w:r>
      <w:r>
        <w:rPr>
          <w:rFonts w:hint="eastAsia"/>
          <w:bCs/>
          <w:color w:val="000000" w:themeColor="text1"/>
          <w:sz w:val="24"/>
          <w:szCs w:val="21"/>
          <w:highlight w:val="none"/>
          <w14:textFill>
            <w14:solidFill>
              <w14:schemeClr w14:val="tx1"/>
            </w14:solidFill>
          </w14:textFill>
        </w:rPr>
        <w:t>。磋商有效期比规定短的将被视为非实质性响应磋商文件而予以拒绝。</w:t>
      </w:r>
    </w:p>
    <w:p w14:paraId="5A28C3E2">
      <w:pPr>
        <w:keepNext/>
        <w:keepLines/>
        <w:spacing w:line="440" w:lineRule="exact"/>
        <w:ind w:firstLine="420"/>
        <w:outlineLvl w:val="2"/>
        <w:rPr>
          <w:rFonts w:eastAsia="黑体" w:cs="Arial"/>
          <w:color w:val="000000" w:themeColor="text1"/>
          <w:sz w:val="28"/>
          <w:szCs w:val="28"/>
          <w:highlight w:val="none"/>
          <w14:textFill>
            <w14:solidFill>
              <w14:schemeClr w14:val="tx1"/>
            </w14:solidFill>
          </w14:textFill>
        </w:rPr>
      </w:pPr>
      <w:r>
        <w:rPr>
          <w:rFonts w:hint="eastAsia" w:eastAsia="黑体" w:cs="Arial"/>
          <w:color w:val="000000" w:themeColor="text1"/>
          <w:sz w:val="28"/>
          <w:szCs w:val="28"/>
          <w:highlight w:val="none"/>
          <w14:textFill>
            <w14:solidFill>
              <w14:schemeClr w14:val="tx1"/>
            </w14:solidFill>
          </w14:textFill>
        </w:rPr>
        <w:t>1</w:t>
      </w:r>
      <w:r>
        <w:rPr>
          <w:rFonts w:eastAsia="黑体" w:cs="Arial"/>
          <w:color w:val="000000" w:themeColor="text1"/>
          <w:sz w:val="28"/>
          <w:szCs w:val="28"/>
          <w:highlight w:val="none"/>
          <w14:textFill>
            <w14:solidFill>
              <w14:schemeClr w14:val="tx1"/>
            </w14:solidFill>
          </w14:textFill>
        </w:rPr>
        <w:t>7</w:t>
      </w:r>
      <w:r>
        <w:rPr>
          <w:rFonts w:hint="eastAsia" w:eastAsia="黑体" w:cs="Arial"/>
          <w:color w:val="000000" w:themeColor="text1"/>
          <w:sz w:val="28"/>
          <w:szCs w:val="28"/>
          <w:highlight w:val="none"/>
          <w14:textFill>
            <w14:solidFill>
              <w14:schemeClr w14:val="tx1"/>
            </w14:solidFill>
          </w14:textFill>
        </w:rPr>
        <w:t>、磋商有效期的延长</w:t>
      </w:r>
    </w:p>
    <w:p w14:paraId="7F9CB792">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17.1在特殊情况下，</w:t>
      </w:r>
      <w:r>
        <w:rPr>
          <w:rFonts w:hint="eastAsia"/>
          <w:color w:val="000000" w:themeColor="text1"/>
          <w:sz w:val="24"/>
          <w:szCs w:val="21"/>
          <w:highlight w:val="none"/>
          <w14:textFill>
            <w14:solidFill>
              <w14:schemeClr w14:val="tx1"/>
            </w14:solidFill>
          </w14:textFill>
        </w:rPr>
        <w:t>采购代理机构</w:t>
      </w:r>
      <w:r>
        <w:rPr>
          <w:rFonts w:hint="eastAsia"/>
          <w:bCs/>
          <w:color w:val="000000" w:themeColor="text1"/>
          <w:sz w:val="24"/>
          <w:szCs w:val="21"/>
          <w:highlight w:val="none"/>
          <w14:textFill>
            <w14:solidFill>
              <w14:schemeClr w14:val="tx1"/>
            </w14:solidFill>
          </w14:textFill>
        </w:rPr>
        <w:t>于原磋商有效期满之前，可向供应商提出延长磋商有效期的要求。这种要求与答复均应采用书面形式。供应商可以拒绝</w:t>
      </w:r>
      <w:r>
        <w:rPr>
          <w:rFonts w:hint="eastAsia"/>
          <w:color w:val="000000" w:themeColor="text1"/>
          <w:sz w:val="24"/>
          <w:szCs w:val="21"/>
          <w:highlight w:val="none"/>
          <w14:textFill>
            <w14:solidFill>
              <w14:schemeClr w14:val="tx1"/>
            </w14:solidFill>
          </w14:textFill>
        </w:rPr>
        <w:t>采购代理机构</w:t>
      </w:r>
      <w:r>
        <w:rPr>
          <w:rFonts w:hint="eastAsia"/>
          <w:bCs/>
          <w:color w:val="000000" w:themeColor="text1"/>
          <w:sz w:val="24"/>
          <w:szCs w:val="21"/>
          <w:highlight w:val="none"/>
          <w14:textFill>
            <w14:solidFill>
              <w14:schemeClr w14:val="tx1"/>
            </w14:solidFill>
          </w14:textFill>
        </w:rPr>
        <w:t>的这一要求而放弃磋商，同意延长磋商有效期的供应商既不能要求也不允许修改其响应文件。</w:t>
      </w:r>
      <w:r>
        <w:rPr>
          <w:rFonts w:hint="eastAsia"/>
          <w:color w:val="000000" w:themeColor="text1"/>
          <w:sz w:val="24"/>
          <w:szCs w:val="24"/>
          <w:highlight w:val="none"/>
          <w14:textFill>
            <w14:solidFill>
              <w14:schemeClr w14:val="tx1"/>
            </w14:solidFill>
          </w14:textFill>
        </w:rPr>
        <w:t>受磋商有效期约束的所有权利与义务均延长至新的有效期</w:t>
      </w:r>
      <w:r>
        <w:rPr>
          <w:rFonts w:hint="eastAsia"/>
          <w:bCs/>
          <w:color w:val="000000" w:themeColor="text1"/>
          <w:sz w:val="24"/>
          <w:szCs w:val="21"/>
          <w:highlight w:val="none"/>
          <w14:textFill>
            <w14:solidFill>
              <w14:schemeClr w14:val="tx1"/>
            </w14:solidFill>
          </w14:textFill>
        </w:rPr>
        <w:t>。</w:t>
      </w:r>
    </w:p>
    <w:p w14:paraId="3EA2458C">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1</w:t>
      </w:r>
      <w:r>
        <w:rPr>
          <w:bCs/>
          <w:color w:val="000000" w:themeColor="text1"/>
          <w:sz w:val="24"/>
          <w:szCs w:val="21"/>
          <w:highlight w:val="none"/>
          <w14:textFill>
            <w14:solidFill>
              <w14:schemeClr w14:val="tx1"/>
            </w14:solidFill>
          </w14:textFill>
        </w:rPr>
        <w:t>7.2</w:t>
      </w:r>
      <w:r>
        <w:rPr>
          <w:rFonts w:hint="eastAsia"/>
          <w:color w:val="000000" w:themeColor="text1"/>
          <w:sz w:val="24"/>
          <w:highlight w:val="none"/>
          <w14:textFill>
            <w14:solidFill>
              <w14:schemeClr w14:val="tx1"/>
            </w14:solidFill>
          </w14:textFill>
        </w:rPr>
        <w:t>成交人的响应文件作为项目合同的附件，其有效期至成交人全部合同义务履行完毕为止。</w:t>
      </w:r>
    </w:p>
    <w:p w14:paraId="5E6543A0">
      <w:pPr>
        <w:keepNext/>
        <w:keepLines/>
        <w:spacing w:line="440" w:lineRule="exact"/>
        <w:ind w:firstLine="482"/>
        <w:outlineLvl w:val="1"/>
        <w:rPr>
          <w:b/>
          <w:bCs/>
          <w:color w:val="000000" w:themeColor="text1"/>
          <w:sz w:val="32"/>
          <w:szCs w:val="32"/>
          <w:highlight w:val="none"/>
          <w14:textFill>
            <w14:solidFill>
              <w14:schemeClr w14:val="tx1"/>
            </w14:solidFill>
          </w14:textFill>
        </w:rPr>
      </w:pPr>
      <w:bookmarkStart w:id="136" w:name="_Hlt26954739"/>
      <w:bookmarkEnd w:id="136"/>
      <w:bookmarkStart w:id="137" w:name="_Hlt26954852"/>
      <w:bookmarkEnd w:id="137"/>
      <w:bookmarkStart w:id="138" w:name="_Toc513029224"/>
      <w:bookmarkStart w:id="139" w:name="_Toc20823296"/>
      <w:bookmarkStart w:id="140" w:name="_Toc120614217"/>
      <w:bookmarkStart w:id="141" w:name="_Toc16938540"/>
      <w:r>
        <w:rPr>
          <w:rFonts w:hint="eastAsia"/>
          <w:b/>
          <w:bCs/>
          <w:color w:val="000000" w:themeColor="text1"/>
          <w:sz w:val="32"/>
          <w:szCs w:val="32"/>
          <w:highlight w:val="none"/>
          <w14:textFill>
            <w14:solidFill>
              <w14:schemeClr w14:val="tx1"/>
            </w14:solidFill>
          </w14:textFill>
        </w:rPr>
        <w:t>四、响应文件的递交</w:t>
      </w:r>
      <w:bookmarkEnd w:id="138"/>
      <w:bookmarkEnd w:id="139"/>
      <w:bookmarkEnd w:id="140"/>
      <w:bookmarkEnd w:id="141"/>
    </w:p>
    <w:p w14:paraId="7113CF56">
      <w:pPr>
        <w:keepNext/>
        <w:keepLines/>
        <w:spacing w:line="440" w:lineRule="exact"/>
        <w:ind w:firstLine="560"/>
        <w:outlineLvl w:val="2"/>
        <w:rPr>
          <w:rFonts w:eastAsia="黑体" w:cs="Arial"/>
          <w:color w:val="000000" w:themeColor="text1"/>
          <w:sz w:val="28"/>
          <w:szCs w:val="28"/>
          <w:highlight w:val="none"/>
          <w14:textFill>
            <w14:solidFill>
              <w14:schemeClr w14:val="tx1"/>
            </w14:solidFill>
          </w14:textFill>
        </w:rPr>
      </w:pPr>
      <w:bookmarkStart w:id="142" w:name="_Toc16938541"/>
      <w:bookmarkStart w:id="143" w:name="_Toc20823297"/>
      <w:bookmarkStart w:id="144" w:name="_Toc462564084"/>
      <w:bookmarkStart w:id="145" w:name="_Toc513029225"/>
      <w:r>
        <w:rPr>
          <w:rFonts w:hint="eastAsia" w:eastAsia="黑体" w:cs="Arial"/>
          <w:color w:val="000000" w:themeColor="text1"/>
          <w:sz w:val="28"/>
          <w:szCs w:val="28"/>
          <w:highlight w:val="none"/>
          <w14:textFill>
            <w14:solidFill>
              <w14:schemeClr w14:val="tx1"/>
            </w14:solidFill>
          </w14:textFill>
        </w:rPr>
        <w:t>1</w:t>
      </w:r>
      <w:r>
        <w:rPr>
          <w:rFonts w:eastAsia="黑体" w:cs="Arial"/>
          <w:color w:val="000000" w:themeColor="text1"/>
          <w:sz w:val="28"/>
          <w:szCs w:val="28"/>
          <w:highlight w:val="none"/>
          <w14:textFill>
            <w14:solidFill>
              <w14:schemeClr w14:val="tx1"/>
            </w14:solidFill>
          </w14:textFill>
        </w:rPr>
        <w:t>8</w:t>
      </w:r>
      <w:r>
        <w:rPr>
          <w:rFonts w:hint="eastAsia" w:eastAsia="黑体" w:cs="Arial"/>
          <w:color w:val="000000" w:themeColor="text1"/>
          <w:sz w:val="28"/>
          <w:szCs w:val="28"/>
          <w:highlight w:val="none"/>
          <w14:textFill>
            <w14:solidFill>
              <w14:schemeClr w14:val="tx1"/>
            </w14:solidFill>
          </w14:textFill>
        </w:rPr>
        <w:t>、电子磋商</w:t>
      </w:r>
      <w:bookmarkEnd w:id="142"/>
      <w:bookmarkEnd w:id="143"/>
      <w:bookmarkEnd w:id="144"/>
      <w:bookmarkEnd w:id="145"/>
      <w:r>
        <w:rPr>
          <w:rFonts w:hint="eastAsia" w:eastAsia="黑体" w:cs="Arial"/>
          <w:color w:val="000000" w:themeColor="text1"/>
          <w:sz w:val="28"/>
          <w:szCs w:val="28"/>
          <w:highlight w:val="none"/>
          <w14:textFill>
            <w14:solidFill>
              <w14:schemeClr w14:val="tx1"/>
            </w14:solidFill>
          </w14:textFill>
        </w:rPr>
        <w:t>响应文件的递交</w:t>
      </w:r>
    </w:p>
    <w:p w14:paraId="0F716689">
      <w:pPr>
        <w:spacing w:line="440" w:lineRule="exact"/>
        <w:ind w:firstLine="60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18.1供应商应当按照《操作手册》规定，在提交响应文件截止时间前</w:t>
      </w:r>
      <w:r>
        <w:rPr>
          <w:bCs/>
          <w:color w:val="000000" w:themeColor="text1"/>
          <w:sz w:val="24"/>
          <w:szCs w:val="21"/>
          <w:highlight w:val="none"/>
          <w14:textFill>
            <w14:solidFill>
              <w14:schemeClr w14:val="tx1"/>
            </w14:solidFill>
          </w14:textFill>
        </w:rPr>
        <w:t>制作</w:t>
      </w:r>
      <w:r>
        <w:rPr>
          <w:rFonts w:hint="eastAsia"/>
          <w:bCs/>
          <w:color w:val="000000" w:themeColor="text1"/>
          <w:sz w:val="24"/>
          <w:szCs w:val="21"/>
          <w:highlight w:val="none"/>
          <w14:textFill>
            <w14:solidFill>
              <w14:schemeClr w14:val="tx1"/>
            </w14:solidFill>
          </w14:textFill>
        </w:rPr>
        <w:t>并上传电子响应文件。</w:t>
      </w:r>
      <w:bookmarkStart w:id="146" w:name="_Toc16938542"/>
      <w:bookmarkStart w:id="147" w:name="_Toc513029226"/>
      <w:bookmarkStart w:id="148" w:name="_Toc20823298"/>
    </w:p>
    <w:p w14:paraId="7C141A89">
      <w:pPr>
        <w:spacing w:line="44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8.2</w:t>
      </w:r>
      <w:r>
        <w:rPr>
          <w:rFonts w:hint="eastAsia"/>
          <w:color w:val="000000" w:themeColor="text1"/>
          <w:sz w:val="24"/>
          <w:highlight w:val="none"/>
          <w14:textFill>
            <w14:solidFill>
              <w14:schemeClr w14:val="tx1"/>
            </w14:solidFill>
          </w14:textFill>
        </w:rPr>
        <w:t>供应商通过“苏采云”系统不见面开标大厅在线参与开标活动。（具体操作详见《“苏采云”系统供应商操作手册》，网址链接http://www.ccgp-jiangsu.gov.cn//webfile/jiangsu/202311/1699268553318052447.pdf）</w:t>
      </w:r>
    </w:p>
    <w:p w14:paraId="50C012A8">
      <w:pPr>
        <w:keepNext/>
        <w:keepLines/>
        <w:spacing w:line="440" w:lineRule="exact"/>
        <w:ind w:firstLine="560"/>
        <w:outlineLvl w:val="2"/>
        <w:rPr>
          <w:rFonts w:eastAsia="黑体" w:cs="Arial"/>
          <w:bCs/>
          <w:color w:val="000000" w:themeColor="text1"/>
          <w:sz w:val="24"/>
          <w:szCs w:val="28"/>
          <w:highlight w:val="none"/>
          <w14:textFill>
            <w14:solidFill>
              <w14:schemeClr w14:val="tx1"/>
            </w14:solidFill>
          </w14:textFill>
        </w:rPr>
      </w:pPr>
      <w:r>
        <w:rPr>
          <w:rFonts w:eastAsia="黑体" w:cs="Arial"/>
          <w:bCs/>
          <w:color w:val="000000" w:themeColor="text1"/>
          <w:sz w:val="28"/>
          <w:szCs w:val="28"/>
          <w:highlight w:val="none"/>
          <w14:textFill>
            <w14:solidFill>
              <w14:schemeClr w14:val="tx1"/>
            </w14:solidFill>
          </w14:textFill>
        </w:rPr>
        <w:t>19</w:t>
      </w:r>
      <w:r>
        <w:rPr>
          <w:rFonts w:hint="eastAsia" w:eastAsia="黑体" w:cs="Arial"/>
          <w:bCs/>
          <w:color w:val="000000" w:themeColor="text1"/>
          <w:sz w:val="28"/>
          <w:szCs w:val="28"/>
          <w:highlight w:val="none"/>
          <w14:textFill>
            <w14:solidFill>
              <w14:schemeClr w14:val="tx1"/>
            </w14:solidFill>
          </w14:textFill>
        </w:rPr>
        <w:t>、提交响应文件截止时间</w:t>
      </w:r>
      <w:bookmarkEnd w:id="146"/>
      <w:bookmarkEnd w:id="147"/>
      <w:bookmarkEnd w:id="148"/>
    </w:p>
    <w:p w14:paraId="58843826">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19.1供应商上传电子响应文件的时间不得迟于磋商公告中规定的提交响应文件截止时间。</w:t>
      </w:r>
    </w:p>
    <w:p w14:paraId="593131C6">
      <w:pPr>
        <w:spacing w:line="440" w:lineRule="exact"/>
        <w:ind w:firstLine="480"/>
        <w:rPr>
          <w:bCs/>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19</w:t>
      </w:r>
      <w:r>
        <w:rPr>
          <w:rFonts w:hint="eastAsia"/>
          <w:color w:val="000000" w:themeColor="text1"/>
          <w:sz w:val="24"/>
          <w:szCs w:val="21"/>
          <w:highlight w:val="none"/>
          <w14:textFill>
            <w14:solidFill>
              <w14:schemeClr w14:val="tx1"/>
            </w14:solidFill>
          </w14:textFill>
        </w:rPr>
        <w:t>.2采购代理机构</w:t>
      </w:r>
      <w:r>
        <w:rPr>
          <w:rFonts w:hint="eastAsia"/>
          <w:bCs/>
          <w:color w:val="000000" w:themeColor="text1"/>
          <w:sz w:val="24"/>
          <w:szCs w:val="21"/>
          <w:highlight w:val="none"/>
          <w14:textFill>
            <w14:solidFill>
              <w14:schemeClr w14:val="tx1"/>
            </w14:solidFill>
          </w14:textFill>
        </w:rPr>
        <w:t>可以按照规定，通过修改磋商文件酌情延长提交响应文件截止日期，在此情况下，供应商的所有权利和义务以及供应商受制的截止日期均应以延长后新的截止日期为准。</w:t>
      </w:r>
    </w:p>
    <w:p w14:paraId="6008343D">
      <w:pPr>
        <w:keepNext/>
        <w:keepLines/>
        <w:spacing w:line="440" w:lineRule="exact"/>
        <w:ind w:firstLine="420"/>
        <w:outlineLvl w:val="2"/>
        <w:rPr>
          <w:rFonts w:eastAsia="黑体" w:cs="Arial"/>
          <w:color w:val="000000" w:themeColor="text1"/>
          <w:sz w:val="28"/>
          <w:szCs w:val="28"/>
          <w:highlight w:val="none"/>
          <w14:textFill>
            <w14:solidFill>
              <w14:schemeClr w14:val="tx1"/>
            </w14:solidFill>
          </w14:textFill>
        </w:rPr>
      </w:pPr>
      <w:bookmarkStart w:id="149" w:name="_Toc16938543"/>
      <w:bookmarkStart w:id="150" w:name="_Toc20823299"/>
      <w:bookmarkStart w:id="151" w:name="_Toc513029227"/>
      <w:r>
        <w:rPr>
          <w:rFonts w:hint="eastAsia" w:eastAsia="黑体" w:cs="Arial"/>
          <w:color w:val="000000" w:themeColor="text1"/>
          <w:sz w:val="28"/>
          <w:szCs w:val="28"/>
          <w:highlight w:val="none"/>
          <w14:textFill>
            <w14:solidFill>
              <w14:schemeClr w14:val="tx1"/>
            </w14:solidFill>
          </w14:textFill>
        </w:rPr>
        <w:t>2</w:t>
      </w:r>
      <w:r>
        <w:rPr>
          <w:rFonts w:eastAsia="黑体" w:cs="Arial"/>
          <w:color w:val="000000" w:themeColor="text1"/>
          <w:sz w:val="28"/>
          <w:szCs w:val="28"/>
          <w:highlight w:val="none"/>
          <w14:textFill>
            <w14:solidFill>
              <w14:schemeClr w14:val="tx1"/>
            </w14:solidFill>
          </w14:textFill>
        </w:rPr>
        <w:t>0</w:t>
      </w:r>
      <w:r>
        <w:rPr>
          <w:rFonts w:hint="eastAsia" w:eastAsia="黑体" w:cs="Arial"/>
          <w:color w:val="000000" w:themeColor="text1"/>
          <w:sz w:val="28"/>
          <w:szCs w:val="28"/>
          <w:highlight w:val="none"/>
          <w14:textFill>
            <w14:solidFill>
              <w14:schemeClr w14:val="tx1"/>
            </w14:solidFill>
          </w14:textFill>
        </w:rPr>
        <w:t>、响应文件</w:t>
      </w:r>
      <w:bookmarkEnd w:id="149"/>
      <w:bookmarkEnd w:id="150"/>
      <w:bookmarkEnd w:id="151"/>
      <w:r>
        <w:rPr>
          <w:rFonts w:hint="eastAsia" w:eastAsia="黑体" w:cs="Arial"/>
          <w:color w:val="000000" w:themeColor="text1"/>
          <w:sz w:val="28"/>
          <w:szCs w:val="28"/>
          <w:highlight w:val="none"/>
          <w14:textFill>
            <w14:solidFill>
              <w14:schemeClr w14:val="tx1"/>
            </w14:solidFill>
          </w14:textFill>
        </w:rPr>
        <w:t>的拒收</w:t>
      </w:r>
    </w:p>
    <w:p w14:paraId="23E30722">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 xml:space="preserve">20.1 </w:t>
      </w:r>
      <w:r>
        <w:rPr>
          <w:rFonts w:hint="eastAsia"/>
          <w:color w:val="000000" w:themeColor="text1"/>
          <w:sz w:val="24"/>
          <w:szCs w:val="21"/>
          <w:highlight w:val="none"/>
          <w14:textFill>
            <w14:solidFill>
              <w14:schemeClr w14:val="tx1"/>
            </w14:solidFill>
          </w14:textFill>
        </w:rPr>
        <w:t>采购代理机构</w:t>
      </w:r>
      <w:r>
        <w:rPr>
          <w:rFonts w:hint="eastAsia"/>
          <w:bCs/>
          <w:color w:val="000000" w:themeColor="text1"/>
          <w:sz w:val="24"/>
          <w:szCs w:val="21"/>
          <w:highlight w:val="none"/>
          <w14:textFill>
            <w14:solidFill>
              <w14:schemeClr w14:val="tx1"/>
            </w14:solidFill>
          </w14:textFill>
        </w:rPr>
        <w:t>拒绝接收在其规定的提交响应文件截止时间后上传的任何电子响应文件。</w:t>
      </w:r>
      <w:r>
        <w:rPr>
          <w:rFonts w:hint="eastAsia"/>
          <w:bCs/>
          <w:color w:val="000000" w:themeColor="text1"/>
          <w:sz w:val="24"/>
          <w:highlight w:val="none"/>
          <w14:textFill>
            <w14:solidFill>
              <w14:schemeClr w14:val="tx1"/>
            </w14:solidFill>
          </w14:textFill>
        </w:rPr>
        <w:t>供应商应将电子响应文件上传至“苏采云”系统对应的本次磋商分包中，未及时上传的，采购人不予受理。响应文件提交截止时间后，供应商对投标报价或其他实质性内容修正的函件和增加的任何优惠条件，一律拒绝接收。</w:t>
      </w:r>
    </w:p>
    <w:p w14:paraId="39E7DE72">
      <w:pPr>
        <w:keepNext/>
        <w:keepLines/>
        <w:spacing w:line="440" w:lineRule="exact"/>
        <w:ind w:firstLine="420"/>
        <w:outlineLvl w:val="2"/>
        <w:rPr>
          <w:rFonts w:eastAsia="黑体" w:cs="Arial"/>
          <w:color w:val="000000" w:themeColor="text1"/>
          <w:sz w:val="28"/>
          <w:szCs w:val="28"/>
          <w:highlight w:val="none"/>
          <w14:textFill>
            <w14:solidFill>
              <w14:schemeClr w14:val="tx1"/>
            </w14:solidFill>
          </w14:textFill>
        </w:rPr>
      </w:pPr>
      <w:bookmarkStart w:id="152" w:name="_Toc16938544"/>
      <w:bookmarkStart w:id="153" w:name="_Toc513029228"/>
      <w:bookmarkStart w:id="154" w:name="_Toc20823300"/>
      <w:r>
        <w:rPr>
          <w:rFonts w:hint="eastAsia" w:eastAsia="黑体" w:cs="Arial"/>
          <w:color w:val="000000" w:themeColor="text1"/>
          <w:sz w:val="28"/>
          <w:szCs w:val="28"/>
          <w:highlight w:val="none"/>
          <w14:textFill>
            <w14:solidFill>
              <w14:schemeClr w14:val="tx1"/>
            </w14:solidFill>
          </w14:textFill>
        </w:rPr>
        <w:t>2</w:t>
      </w:r>
      <w:r>
        <w:rPr>
          <w:rFonts w:eastAsia="黑体" w:cs="Arial"/>
          <w:color w:val="000000" w:themeColor="text1"/>
          <w:sz w:val="28"/>
          <w:szCs w:val="28"/>
          <w:highlight w:val="none"/>
          <w14:textFill>
            <w14:solidFill>
              <w14:schemeClr w14:val="tx1"/>
            </w14:solidFill>
          </w14:textFill>
        </w:rPr>
        <w:t>1</w:t>
      </w:r>
      <w:r>
        <w:rPr>
          <w:rFonts w:hint="eastAsia" w:eastAsia="黑体" w:cs="Arial"/>
          <w:color w:val="000000" w:themeColor="text1"/>
          <w:sz w:val="28"/>
          <w:szCs w:val="28"/>
          <w:highlight w:val="none"/>
          <w14:textFill>
            <w14:solidFill>
              <w14:schemeClr w14:val="tx1"/>
            </w14:solidFill>
          </w14:textFill>
        </w:rPr>
        <w:t>、响应文件的撤回和修改</w:t>
      </w:r>
      <w:bookmarkEnd w:id="152"/>
      <w:bookmarkEnd w:id="153"/>
      <w:bookmarkEnd w:id="154"/>
    </w:p>
    <w:p w14:paraId="4DB98A26">
      <w:pPr>
        <w:spacing w:line="440" w:lineRule="exact"/>
        <w:ind w:firstLine="480"/>
        <w:outlineLvl w:val="3"/>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2</w:t>
      </w:r>
      <w:r>
        <w:rPr>
          <w:color w:val="000000" w:themeColor="text1"/>
          <w:sz w:val="24"/>
          <w:szCs w:val="21"/>
          <w:highlight w:val="none"/>
          <w14:textFill>
            <w14:solidFill>
              <w14:schemeClr w14:val="tx1"/>
            </w14:solidFill>
          </w14:textFill>
        </w:rPr>
        <w:t>1</w:t>
      </w:r>
      <w:r>
        <w:rPr>
          <w:rFonts w:hint="eastAsia"/>
          <w:color w:val="000000" w:themeColor="text1"/>
          <w:sz w:val="24"/>
          <w:szCs w:val="21"/>
          <w:highlight w:val="none"/>
          <w14:textFill>
            <w14:solidFill>
              <w14:schemeClr w14:val="tx1"/>
            </w14:solidFill>
          </w14:textFill>
        </w:rPr>
        <w:t>.1响应文件的撤回</w:t>
      </w:r>
    </w:p>
    <w:p w14:paraId="10E0D837">
      <w:pPr>
        <w:spacing w:line="440" w:lineRule="exact"/>
        <w:ind w:firstLine="48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2</w:t>
      </w:r>
      <w:r>
        <w:rPr>
          <w:color w:val="000000" w:themeColor="text1"/>
          <w:sz w:val="24"/>
          <w:szCs w:val="21"/>
          <w:highlight w:val="none"/>
          <w14:textFill>
            <w14:solidFill>
              <w14:schemeClr w14:val="tx1"/>
            </w14:solidFill>
          </w14:textFill>
        </w:rPr>
        <w:t>1</w:t>
      </w:r>
      <w:r>
        <w:rPr>
          <w:rFonts w:hint="eastAsia"/>
          <w:color w:val="000000" w:themeColor="text1"/>
          <w:sz w:val="24"/>
          <w:szCs w:val="21"/>
          <w:highlight w:val="none"/>
          <w14:textFill>
            <w14:solidFill>
              <w14:schemeClr w14:val="tx1"/>
            </w14:solidFill>
          </w14:textFill>
        </w:rPr>
        <w:t>.1.1电子响应文件的撤回</w:t>
      </w:r>
    </w:p>
    <w:p w14:paraId="7FDBA355">
      <w:pPr>
        <w:spacing w:line="440" w:lineRule="exact"/>
        <w:ind w:firstLine="48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供应商可在</w:t>
      </w:r>
      <w:r>
        <w:rPr>
          <w:rFonts w:hint="eastAsia"/>
          <w:bCs/>
          <w:color w:val="000000" w:themeColor="text1"/>
          <w:sz w:val="24"/>
          <w:szCs w:val="21"/>
          <w:highlight w:val="none"/>
          <w14:textFill>
            <w14:solidFill>
              <w14:schemeClr w14:val="tx1"/>
            </w14:solidFill>
          </w14:textFill>
        </w:rPr>
        <w:t>提交响应文件</w:t>
      </w:r>
      <w:r>
        <w:rPr>
          <w:rFonts w:hint="eastAsia"/>
          <w:color w:val="000000" w:themeColor="text1"/>
          <w:sz w:val="24"/>
          <w:szCs w:val="21"/>
          <w:highlight w:val="none"/>
          <w14:textFill>
            <w14:solidFill>
              <w14:schemeClr w14:val="tx1"/>
            </w14:solidFill>
          </w14:textFill>
        </w:rPr>
        <w:t>截止时间前，撤回其电子响应文件，具体操作方法见《操作手册》。</w:t>
      </w:r>
    </w:p>
    <w:p w14:paraId="21DA646E">
      <w:pPr>
        <w:spacing w:line="440" w:lineRule="exact"/>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color w:val="000000" w:themeColor="text1"/>
          <w:sz w:val="24"/>
          <w:szCs w:val="24"/>
          <w:highlight w:val="none"/>
          <w14:textFill>
            <w14:solidFill>
              <w14:schemeClr w14:val="tx1"/>
            </w14:solidFill>
          </w14:textFill>
        </w:rPr>
        <w:t>1</w:t>
      </w:r>
      <w:r>
        <w:rPr>
          <w:rFonts w:hint="eastAsia"/>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2</w:t>
      </w:r>
      <w:r>
        <w:rPr>
          <w:rFonts w:hint="eastAsia"/>
          <w:color w:val="000000" w:themeColor="text1"/>
          <w:sz w:val="24"/>
          <w:szCs w:val="24"/>
          <w:highlight w:val="none"/>
          <w14:textFill>
            <w14:solidFill>
              <w14:schemeClr w14:val="tx1"/>
            </w14:solidFill>
          </w14:textFill>
        </w:rPr>
        <w:t>供应商撤回电子响应文件，则认为其不再参与本项目磋商活动。</w:t>
      </w:r>
    </w:p>
    <w:p w14:paraId="581B563C">
      <w:pPr>
        <w:spacing w:line="440" w:lineRule="exact"/>
        <w:ind w:firstLine="480"/>
        <w:outlineLvl w:val="3"/>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color w:val="000000" w:themeColor="text1"/>
          <w:sz w:val="24"/>
          <w:szCs w:val="24"/>
          <w:highlight w:val="none"/>
          <w14:textFill>
            <w14:solidFill>
              <w14:schemeClr w14:val="tx1"/>
            </w14:solidFill>
          </w14:textFill>
        </w:rPr>
        <w:t>1</w:t>
      </w:r>
      <w:r>
        <w:rPr>
          <w:rFonts w:hint="eastAsia"/>
          <w:color w:val="000000" w:themeColor="text1"/>
          <w:sz w:val="24"/>
          <w:szCs w:val="24"/>
          <w:highlight w:val="none"/>
          <w14:textFill>
            <w14:solidFill>
              <w14:schemeClr w14:val="tx1"/>
            </w14:solidFill>
          </w14:textFill>
        </w:rPr>
        <w:t>.2响应文件的修改</w:t>
      </w:r>
    </w:p>
    <w:p w14:paraId="7F7B88EE">
      <w:pPr>
        <w:spacing w:line="440" w:lineRule="exact"/>
        <w:ind w:firstLine="48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2</w:t>
      </w:r>
      <w:r>
        <w:rPr>
          <w:color w:val="000000" w:themeColor="text1"/>
          <w:sz w:val="24"/>
          <w:szCs w:val="21"/>
          <w:highlight w:val="none"/>
          <w14:textFill>
            <w14:solidFill>
              <w14:schemeClr w14:val="tx1"/>
            </w14:solidFill>
          </w14:textFill>
        </w:rPr>
        <w:t>1</w:t>
      </w:r>
      <w:r>
        <w:rPr>
          <w:rFonts w:hint="eastAsia"/>
          <w:color w:val="000000" w:themeColor="text1"/>
          <w:sz w:val="24"/>
          <w:szCs w:val="21"/>
          <w:highlight w:val="none"/>
          <w14:textFill>
            <w14:solidFill>
              <w14:schemeClr w14:val="tx1"/>
            </w14:solidFill>
          </w14:textFill>
        </w:rPr>
        <w:t>.2.1供应商可在</w:t>
      </w:r>
      <w:r>
        <w:rPr>
          <w:rFonts w:hint="eastAsia"/>
          <w:bCs/>
          <w:color w:val="000000" w:themeColor="text1"/>
          <w:sz w:val="24"/>
          <w:szCs w:val="21"/>
          <w:highlight w:val="none"/>
          <w14:textFill>
            <w14:solidFill>
              <w14:schemeClr w14:val="tx1"/>
            </w14:solidFill>
          </w14:textFill>
        </w:rPr>
        <w:t>提交响应文件</w:t>
      </w:r>
      <w:r>
        <w:rPr>
          <w:rFonts w:hint="eastAsia"/>
          <w:color w:val="000000" w:themeColor="text1"/>
          <w:sz w:val="24"/>
          <w:szCs w:val="21"/>
          <w:highlight w:val="none"/>
          <w14:textFill>
            <w14:solidFill>
              <w14:schemeClr w14:val="tx1"/>
            </w14:solidFill>
          </w14:textFill>
        </w:rPr>
        <w:t>截止时间前，对其电子响应文件进行修改，具体操作方法见《操作手册》。</w:t>
      </w:r>
    </w:p>
    <w:p w14:paraId="262BE686">
      <w:pPr>
        <w:spacing w:line="440" w:lineRule="exact"/>
        <w:ind w:firstLine="480"/>
        <w:rPr>
          <w:bCs/>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2</w:t>
      </w:r>
      <w:r>
        <w:rPr>
          <w:color w:val="000000" w:themeColor="text1"/>
          <w:sz w:val="24"/>
          <w:szCs w:val="21"/>
          <w:highlight w:val="none"/>
          <w14:textFill>
            <w14:solidFill>
              <w14:schemeClr w14:val="tx1"/>
            </w14:solidFill>
          </w14:textFill>
        </w:rPr>
        <w:t>1</w:t>
      </w:r>
      <w:r>
        <w:rPr>
          <w:rFonts w:hint="eastAsia"/>
          <w:color w:val="000000" w:themeColor="text1"/>
          <w:sz w:val="24"/>
          <w:szCs w:val="21"/>
          <w:highlight w:val="none"/>
          <w14:textFill>
            <w14:solidFill>
              <w14:schemeClr w14:val="tx1"/>
            </w14:solidFill>
          </w14:textFill>
        </w:rPr>
        <w:t>.2.2</w:t>
      </w:r>
      <w:r>
        <w:rPr>
          <w:rFonts w:hint="eastAsia"/>
          <w:bCs/>
          <w:color w:val="000000" w:themeColor="text1"/>
          <w:sz w:val="24"/>
          <w:szCs w:val="21"/>
          <w:highlight w:val="none"/>
          <w14:textFill>
            <w14:solidFill>
              <w14:schemeClr w14:val="tx1"/>
            </w14:solidFill>
          </w14:textFill>
        </w:rPr>
        <w:t>在提交响应文件截止时间之后，供应商不得对其电子响应文件作任何修改。</w:t>
      </w:r>
    </w:p>
    <w:p w14:paraId="6CB810F7">
      <w:pPr>
        <w:spacing w:line="440" w:lineRule="exact"/>
        <w:ind w:firstLine="480"/>
        <w:rPr>
          <w:bCs/>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2</w:t>
      </w:r>
      <w:r>
        <w:rPr>
          <w:color w:val="000000" w:themeColor="text1"/>
          <w:sz w:val="24"/>
          <w:szCs w:val="21"/>
          <w:highlight w:val="none"/>
          <w14:textFill>
            <w14:solidFill>
              <w14:schemeClr w14:val="tx1"/>
            </w14:solidFill>
          </w14:textFill>
        </w:rPr>
        <w:t>1</w:t>
      </w:r>
      <w:r>
        <w:rPr>
          <w:rFonts w:hint="eastAsia"/>
          <w:color w:val="000000" w:themeColor="text1"/>
          <w:sz w:val="24"/>
          <w:szCs w:val="21"/>
          <w:highlight w:val="none"/>
          <w14:textFill>
            <w14:solidFill>
              <w14:schemeClr w14:val="tx1"/>
            </w14:solidFill>
          </w14:textFill>
        </w:rPr>
        <w:t>.3</w:t>
      </w:r>
      <w:r>
        <w:rPr>
          <w:rFonts w:hint="eastAsia"/>
          <w:bCs/>
          <w:color w:val="000000" w:themeColor="text1"/>
          <w:sz w:val="24"/>
          <w:szCs w:val="21"/>
          <w:highlight w:val="none"/>
          <w14:textFill>
            <w14:solidFill>
              <w14:schemeClr w14:val="tx1"/>
            </w14:solidFill>
          </w14:textFill>
        </w:rPr>
        <w:t>在提交响应文件截止时间至磋商文件中规定的磋商有效期满之间的这段时间内，供应商不得撤回其响应文件。</w:t>
      </w:r>
    </w:p>
    <w:p w14:paraId="0A13782C">
      <w:pPr>
        <w:keepNext/>
        <w:keepLines/>
        <w:spacing w:line="440" w:lineRule="exact"/>
        <w:ind w:firstLine="482"/>
        <w:outlineLvl w:val="1"/>
        <w:rPr>
          <w:b/>
          <w:bCs/>
          <w:color w:val="000000" w:themeColor="text1"/>
          <w:sz w:val="32"/>
          <w:szCs w:val="32"/>
          <w:highlight w:val="none"/>
          <w14:textFill>
            <w14:solidFill>
              <w14:schemeClr w14:val="tx1"/>
            </w14:solidFill>
          </w14:textFill>
        </w:rPr>
      </w:pPr>
      <w:bookmarkStart w:id="155" w:name="_Toc513029229"/>
      <w:bookmarkStart w:id="156" w:name="_Toc16938545"/>
      <w:bookmarkStart w:id="157" w:name="_Toc20823301"/>
      <w:bookmarkStart w:id="158" w:name="_Toc120614218"/>
      <w:r>
        <w:rPr>
          <w:rFonts w:hint="eastAsia"/>
          <w:b/>
          <w:bCs/>
          <w:color w:val="000000" w:themeColor="text1"/>
          <w:sz w:val="32"/>
          <w:szCs w:val="32"/>
          <w:highlight w:val="none"/>
          <w14:textFill>
            <w14:solidFill>
              <w14:schemeClr w14:val="tx1"/>
            </w14:solidFill>
          </w14:textFill>
        </w:rPr>
        <w:t>五、响应文件的解密与评审</w:t>
      </w:r>
      <w:bookmarkEnd w:id="155"/>
      <w:bookmarkEnd w:id="156"/>
      <w:bookmarkEnd w:id="157"/>
      <w:bookmarkEnd w:id="158"/>
    </w:p>
    <w:p w14:paraId="1C56308D">
      <w:pPr>
        <w:keepNext/>
        <w:keepLines/>
        <w:spacing w:line="440" w:lineRule="exact"/>
        <w:ind w:firstLine="420"/>
        <w:outlineLvl w:val="2"/>
        <w:rPr>
          <w:rFonts w:eastAsia="黑体" w:cs="Arial"/>
          <w:color w:val="000000" w:themeColor="text1"/>
          <w:sz w:val="28"/>
          <w:szCs w:val="28"/>
          <w:highlight w:val="none"/>
          <w14:textFill>
            <w14:solidFill>
              <w14:schemeClr w14:val="tx1"/>
            </w14:solidFill>
          </w14:textFill>
        </w:rPr>
      </w:pPr>
      <w:bookmarkStart w:id="159" w:name="_Toc513029230"/>
      <w:bookmarkStart w:id="160" w:name="_Toc16938546"/>
      <w:bookmarkStart w:id="161" w:name="_Toc20823302"/>
      <w:r>
        <w:rPr>
          <w:rFonts w:hint="eastAsia" w:eastAsia="黑体" w:cs="Arial"/>
          <w:color w:val="000000" w:themeColor="text1"/>
          <w:sz w:val="28"/>
          <w:szCs w:val="28"/>
          <w:highlight w:val="none"/>
          <w14:textFill>
            <w14:solidFill>
              <w14:schemeClr w14:val="tx1"/>
            </w14:solidFill>
          </w14:textFill>
        </w:rPr>
        <w:t>22、</w:t>
      </w:r>
      <w:bookmarkEnd w:id="159"/>
      <w:bookmarkEnd w:id="160"/>
      <w:bookmarkEnd w:id="161"/>
      <w:r>
        <w:rPr>
          <w:rFonts w:hint="eastAsia" w:eastAsia="黑体" w:cs="Arial"/>
          <w:color w:val="000000" w:themeColor="text1"/>
          <w:sz w:val="28"/>
          <w:szCs w:val="28"/>
          <w:highlight w:val="none"/>
          <w14:textFill>
            <w14:solidFill>
              <w14:schemeClr w14:val="tx1"/>
            </w14:solidFill>
          </w14:textFill>
        </w:rPr>
        <w:t>响应文件解密</w:t>
      </w:r>
    </w:p>
    <w:p w14:paraId="0EDDFBF2">
      <w:pPr>
        <w:spacing w:line="440" w:lineRule="exact"/>
        <w:ind w:firstLine="360"/>
        <w:rPr>
          <w:color w:val="000000" w:themeColor="text1"/>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2</w:t>
      </w:r>
      <w:r>
        <w:rPr>
          <w:color w:val="000000" w:themeColor="text1"/>
          <w:sz w:val="24"/>
          <w:szCs w:val="21"/>
          <w:highlight w:val="none"/>
          <w14:textFill>
            <w14:solidFill>
              <w14:schemeClr w14:val="tx1"/>
            </w14:solidFill>
          </w14:textFill>
        </w:rPr>
        <w:t>2</w:t>
      </w:r>
      <w:r>
        <w:rPr>
          <w:rFonts w:hint="eastAsia"/>
          <w:color w:val="000000" w:themeColor="text1"/>
          <w:sz w:val="24"/>
          <w:szCs w:val="21"/>
          <w:highlight w:val="none"/>
          <w14:textFill>
            <w14:solidFill>
              <w14:schemeClr w14:val="tx1"/>
            </w14:solidFill>
          </w14:textFill>
        </w:rPr>
        <w:t>.1</w:t>
      </w:r>
      <w:r>
        <w:rPr>
          <w:rFonts w:hint="eastAsia"/>
          <w:color w:val="000000" w:themeColor="text1"/>
          <w:sz w:val="24"/>
          <w:szCs w:val="24"/>
          <w:highlight w:val="none"/>
          <w14:textFill>
            <w14:solidFill>
              <w14:schemeClr w14:val="tx1"/>
            </w14:solidFill>
          </w14:textFill>
        </w:rPr>
        <w:t>供应商应当</w:t>
      </w:r>
      <w:r>
        <w:rPr>
          <w:rFonts w:hint="eastAsia"/>
          <w:color w:val="000000" w:themeColor="text1"/>
          <w:sz w:val="24"/>
          <w:szCs w:val="21"/>
          <w:highlight w:val="none"/>
          <w14:textFill>
            <w14:solidFill>
              <w14:schemeClr w14:val="tx1"/>
            </w14:solidFill>
          </w14:textFill>
        </w:rPr>
        <w:t>按照《“苏采云”系统供应商操作手册》规定</w:t>
      </w:r>
      <w:r>
        <w:rPr>
          <w:rFonts w:hint="eastAsia"/>
          <w:color w:val="000000" w:themeColor="text1"/>
          <w:sz w:val="24"/>
          <w:szCs w:val="24"/>
          <w:highlight w:val="none"/>
          <w14:textFill>
            <w14:solidFill>
              <w14:schemeClr w14:val="tx1"/>
            </w14:solidFill>
          </w14:textFill>
        </w:rPr>
        <w:t>，参加磋商活动和在苏采云系统规定的时间内对磋商响应文件进行解密。</w:t>
      </w:r>
    </w:p>
    <w:p w14:paraId="08085DB9">
      <w:pPr>
        <w:keepNext/>
        <w:keepLines/>
        <w:spacing w:line="440" w:lineRule="exact"/>
        <w:ind w:firstLine="420"/>
        <w:outlineLvl w:val="2"/>
        <w:rPr>
          <w:rFonts w:eastAsia="黑体" w:cs="Arial"/>
          <w:color w:val="000000" w:themeColor="text1"/>
          <w:sz w:val="28"/>
          <w:szCs w:val="28"/>
          <w:highlight w:val="none"/>
          <w14:textFill>
            <w14:solidFill>
              <w14:schemeClr w14:val="tx1"/>
            </w14:solidFill>
          </w14:textFill>
        </w:rPr>
      </w:pPr>
      <w:bookmarkStart w:id="162" w:name="_Toc20823303"/>
      <w:bookmarkStart w:id="163" w:name="_Toc513029231"/>
      <w:bookmarkStart w:id="164" w:name="_Toc16938547"/>
      <w:r>
        <w:rPr>
          <w:rFonts w:hint="eastAsia" w:eastAsia="黑体" w:cs="Arial"/>
          <w:color w:val="000000" w:themeColor="text1"/>
          <w:sz w:val="28"/>
          <w:szCs w:val="28"/>
          <w:highlight w:val="none"/>
          <w14:textFill>
            <w14:solidFill>
              <w14:schemeClr w14:val="tx1"/>
            </w14:solidFill>
          </w14:textFill>
        </w:rPr>
        <w:t>2</w:t>
      </w:r>
      <w:r>
        <w:rPr>
          <w:rFonts w:eastAsia="黑体" w:cs="Arial"/>
          <w:color w:val="000000" w:themeColor="text1"/>
          <w:sz w:val="28"/>
          <w:szCs w:val="28"/>
          <w:highlight w:val="none"/>
          <w14:textFill>
            <w14:solidFill>
              <w14:schemeClr w14:val="tx1"/>
            </w14:solidFill>
          </w14:textFill>
        </w:rPr>
        <w:t>3</w:t>
      </w:r>
      <w:r>
        <w:rPr>
          <w:rFonts w:hint="eastAsia" w:eastAsia="黑体" w:cs="Arial"/>
          <w:color w:val="000000" w:themeColor="text1"/>
          <w:sz w:val="28"/>
          <w:szCs w:val="28"/>
          <w:highlight w:val="none"/>
          <w14:textFill>
            <w14:solidFill>
              <w14:schemeClr w14:val="tx1"/>
            </w14:solidFill>
          </w14:textFill>
        </w:rPr>
        <w:t>、磋商小组</w:t>
      </w:r>
    </w:p>
    <w:p w14:paraId="432178C4">
      <w:pPr>
        <w:spacing w:line="440" w:lineRule="exact"/>
        <w:ind w:firstLine="480"/>
        <w:rPr>
          <w:b/>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color w:val="000000" w:themeColor="text1"/>
          <w:sz w:val="24"/>
          <w:szCs w:val="24"/>
          <w:highlight w:val="none"/>
          <w14:textFill>
            <w14:solidFill>
              <w14:schemeClr w14:val="tx1"/>
            </w14:solidFill>
          </w14:textFill>
        </w:rPr>
        <w:t>3</w:t>
      </w: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1"/>
          <w:highlight w:val="none"/>
          <w14:textFill>
            <w14:solidFill>
              <w14:schemeClr w14:val="tx1"/>
            </w14:solidFill>
          </w14:textFill>
        </w:rPr>
        <w:t>采购代理机构</w:t>
      </w:r>
      <w:r>
        <w:rPr>
          <w:rFonts w:hint="eastAsia"/>
          <w:color w:val="000000" w:themeColor="text1"/>
          <w:sz w:val="24"/>
          <w:szCs w:val="24"/>
          <w:highlight w:val="none"/>
          <w14:textFill>
            <w14:solidFill>
              <w14:schemeClr w14:val="tx1"/>
            </w14:solidFill>
          </w14:textFill>
        </w:rPr>
        <w:t>将组织磋商小组对响应文件进行评审。磋商小组由采购人代表和有关技术、经济等方面的专家组成，且人员构成符合政府采购有关规定。</w:t>
      </w:r>
    </w:p>
    <w:p w14:paraId="3EABC9DD">
      <w:pPr>
        <w:spacing w:line="440" w:lineRule="exact"/>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color w:val="000000" w:themeColor="text1"/>
          <w:sz w:val="24"/>
          <w:szCs w:val="24"/>
          <w:highlight w:val="none"/>
          <w14:textFill>
            <w14:solidFill>
              <w14:schemeClr w14:val="tx1"/>
            </w14:solidFill>
          </w14:textFill>
        </w:rPr>
        <w:t>3</w:t>
      </w:r>
      <w:r>
        <w:rPr>
          <w:rFonts w:hint="eastAsia"/>
          <w:color w:val="000000" w:themeColor="text1"/>
          <w:sz w:val="24"/>
          <w:szCs w:val="24"/>
          <w:highlight w:val="none"/>
          <w14:textFill>
            <w14:solidFill>
              <w14:schemeClr w14:val="tx1"/>
            </w14:solidFill>
          </w14:textFill>
        </w:rPr>
        <w:t>.2磋商小组独立工作，负责评审所有响应文件并确定成交候选人。</w:t>
      </w:r>
    </w:p>
    <w:p w14:paraId="62F6EDD0">
      <w:pPr>
        <w:keepNext/>
        <w:keepLines/>
        <w:spacing w:line="440" w:lineRule="exact"/>
        <w:ind w:firstLine="420"/>
        <w:outlineLvl w:val="2"/>
        <w:rPr>
          <w:rFonts w:eastAsia="黑体" w:cs="Arial"/>
          <w:color w:val="000000" w:themeColor="text1"/>
          <w:sz w:val="28"/>
          <w:szCs w:val="28"/>
          <w:highlight w:val="none"/>
          <w14:textFill>
            <w14:solidFill>
              <w14:schemeClr w14:val="tx1"/>
            </w14:solidFill>
          </w14:textFill>
        </w:rPr>
      </w:pPr>
      <w:r>
        <w:rPr>
          <w:rFonts w:hint="eastAsia" w:eastAsia="黑体" w:cs="Arial"/>
          <w:color w:val="000000" w:themeColor="text1"/>
          <w:sz w:val="28"/>
          <w:szCs w:val="28"/>
          <w:highlight w:val="none"/>
          <w14:textFill>
            <w14:solidFill>
              <w14:schemeClr w14:val="tx1"/>
            </w14:solidFill>
          </w14:textFill>
        </w:rPr>
        <w:t>2</w:t>
      </w:r>
      <w:r>
        <w:rPr>
          <w:rFonts w:eastAsia="黑体" w:cs="Arial"/>
          <w:color w:val="000000" w:themeColor="text1"/>
          <w:sz w:val="28"/>
          <w:szCs w:val="28"/>
          <w:highlight w:val="none"/>
          <w14:textFill>
            <w14:solidFill>
              <w14:schemeClr w14:val="tx1"/>
            </w14:solidFill>
          </w14:textFill>
        </w:rPr>
        <w:t>4</w:t>
      </w:r>
      <w:r>
        <w:rPr>
          <w:rFonts w:hint="eastAsia" w:eastAsia="黑体" w:cs="Arial"/>
          <w:color w:val="000000" w:themeColor="text1"/>
          <w:sz w:val="28"/>
          <w:szCs w:val="28"/>
          <w:highlight w:val="none"/>
          <w14:textFill>
            <w14:solidFill>
              <w14:schemeClr w14:val="tx1"/>
            </w14:solidFill>
          </w14:textFill>
        </w:rPr>
        <w:t>、评审过程的保密与公正</w:t>
      </w:r>
    </w:p>
    <w:bookmarkEnd w:id="162"/>
    <w:bookmarkEnd w:id="163"/>
    <w:bookmarkEnd w:id="164"/>
    <w:p w14:paraId="6B7F346C">
      <w:pPr>
        <w:spacing w:line="440" w:lineRule="exact"/>
        <w:ind w:firstLine="480"/>
        <w:rPr>
          <w:bCs/>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2</w:t>
      </w:r>
      <w:r>
        <w:rPr>
          <w:color w:val="000000" w:themeColor="text1"/>
          <w:sz w:val="24"/>
          <w:szCs w:val="21"/>
          <w:highlight w:val="none"/>
          <w14:textFill>
            <w14:solidFill>
              <w14:schemeClr w14:val="tx1"/>
            </w14:solidFill>
          </w14:textFill>
        </w:rPr>
        <w:t>4</w:t>
      </w:r>
      <w:r>
        <w:rPr>
          <w:rFonts w:hint="eastAsia"/>
          <w:color w:val="000000" w:themeColor="text1"/>
          <w:sz w:val="24"/>
          <w:szCs w:val="21"/>
          <w:highlight w:val="none"/>
          <w14:textFill>
            <w14:solidFill>
              <w14:schemeClr w14:val="tx1"/>
            </w14:solidFill>
          </w14:textFill>
        </w:rPr>
        <w:t>.1</w:t>
      </w:r>
      <w:r>
        <w:rPr>
          <w:rFonts w:hint="eastAsia"/>
          <w:bCs/>
          <w:color w:val="000000" w:themeColor="text1"/>
          <w:sz w:val="24"/>
          <w:szCs w:val="21"/>
          <w:highlight w:val="none"/>
          <w14:textFill>
            <w14:solidFill>
              <w14:schemeClr w14:val="tx1"/>
            </w14:solidFill>
          </w14:textFill>
        </w:rPr>
        <w:t>磋商小组、采购人和</w:t>
      </w:r>
      <w:r>
        <w:rPr>
          <w:rFonts w:hint="eastAsia"/>
          <w:color w:val="000000" w:themeColor="text1"/>
          <w:sz w:val="24"/>
          <w:szCs w:val="21"/>
          <w:highlight w:val="none"/>
          <w14:textFill>
            <w14:solidFill>
              <w14:schemeClr w14:val="tx1"/>
            </w14:solidFill>
          </w14:textFill>
        </w:rPr>
        <w:t>采购代理机构</w:t>
      </w:r>
      <w:r>
        <w:rPr>
          <w:rFonts w:hint="eastAsia"/>
          <w:bCs/>
          <w:color w:val="000000" w:themeColor="text1"/>
          <w:sz w:val="24"/>
          <w:szCs w:val="21"/>
          <w:highlight w:val="none"/>
          <w14:textFill>
            <w14:solidFill>
              <w14:schemeClr w14:val="tx1"/>
            </w14:solidFill>
          </w14:textFill>
        </w:rPr>
        <w:t>工作人员、相关监督人员等与评审工作有关的人员，对评审情况以及在评审过程中获悉的国家秘密、商业秘密负有保密责任。</w:t>
      </w:r>
    </w:p>
    <w:p w14:paraId="4B1DD2CA">
      <w:pPr>
        <w:spacing w:line="440" w:lineRule="exact"/>
        <w:ind w:firstLine="480"/>
        <w:rPr>
          <w:color w:val="000000" w:themeColor="text1"/>
          <w:sz w:val="24"/>
          <w:szCs w:val="24"/>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2</w:t>
      </w:r>
      <w:r>
        <w:rPr>
          <w:color w:val="000000" w:themeColor="text1"/>
          <w:sz w:val="24"/>
          <w:szCs w:val="21"/>
          <w:highlight w:val="none"/>
          <w14:textFill>
            <w14:solidFill>
              <w14:schemeClr w14:val="tx1"/>
            </w14:solidFill>
          </w14:textFill>
        </w:rPr>
        <w:t>4</w:t>
      </w:r>
      <w:r>
        <w:rPr>
          <w:rFonts w:hint="eastAsia"/>
          <w:color w:val="000000" w:themeColor="text1"/>
          <w:sz w:val="24"/>
          <w:szCs w:val="21"/>
          <w:highlight w:val="none"/>
          <w14:textFill>
            <w14:solidFill>
              <w14:schemeClr w14:val="tx1"/>
            </w14:solidFill>
          </w14:textFill>
        </w:rPr>
        <w:t>.2</w:t>
      </w:r>
      <w:r>
        <w:rPr>
          <w:rFonts w:hint="eastAsia"/>
          <w:color w:val="000000" w:themeColor="text1"/>
          <w:sz w:val="24"/>
          <w:szCs w:val="24"/>
          <w:highlight w:val="none"/>
          <w14:textFill>
            <w14:solidFill>
              <w14:schemeClr w14:val="tx1"/>
            </w14:solidFill>
          </w14:textFill>
        </w:rPr>
        <w:t>在评审过程中，供应商不得以任何行为影响磋商评审过程，否则其响应文件将被作为无效响应文件。</w:t>
      </w:r>
    </w:p>
    <w:p w14:paraId="58FFE657">
      <w:pPr>
        <w:spacing w:line="440" w:lineRule="exact"/>
        <w:ind w:firstLine="480"/>
        <w:rPr>
          <w:color w:val="000000" w:themeColor="text1"/>
          <w:sz w:val="24"/>
          <w:szCs w:val="24"/>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2</w:t>
      </w:r>
      <w:r>
        <w:rPr>
          <w:color w:val="000000" w:themeColor="text1"/>
          <w:sz w:val="24"/>
          <w:szCs w:val="21"/>
          <w:highlight w:val="none"/>
          <w14:textFill>
            <w14:solidFill>
              <w14:schemeClr w14:val="tx1"/>
            </w14:solidFill>
          </w14:textFill>
        </w:rPr>
        <w:t>4</w:t>
      </w:r>
      <w:r>
        <w:rPr>
          <w:rFonts w:hint="eastAsia"/>
          <w:color w:val="000000" w:themeColor="text1"/>
          <w:sz w:val="24"/>
          <w:szCs w:val="21"/>
          <w:highlight w:val="none"/>
          <w14:textFill>
            <w14:solidFill>
              <w14:schemeClr w14:val="tx1"/>
            </w14:solidFill>
          </w14:textFill>
        </w:rPr>
        <w:t>.3</w:t>
      </w:r>
      <w:r>
        <w:rPr>
          <w:rFonts w:hint="eastAsia"/>
          <w:color w:val="000000" w:themeColor="text1"/>
          <w:sz w:val="24"/>
          <w:szCs w:val="24"/>
          <w:highlight w:val="none"/>
          <w14:textFill>
            <w14:solidFill>
              <w14:schemeClr w14:val="tx1"/>
            </w14:solidFill>
          </w14:textFill>
        </w:rPr>
        <w:t>在项目评审期间，</w:t>
      </w:r>
      <w:r>
        <w:rPr>
          <w:rFonts w:hint="eastAsia"/>
          <w:color w:val="000000" w:themeColor="text1"/>
          <w:sz w:val="24"/>
          <w:szCs w:val="21"/>
          <w:highlight w:val="none"/>
          <w14:textFill>
            <w14:solidFill>
              <w14:schemeClr w14:val="tx1"/>
            </w14:solidFill>
          </w14:textFill>
        </w:rPr>
        <w:t>采购代理机构</w:t>
      </w:r>
      <w:r>
        <w:rPr>
          <w:rFonts w:hint="eastAsia"/>
          <w:color w:val="000000" w:themeColor="text1"/>
          <w:sz w:val="24"/>
          <w:szCs w:val="24"/>
          <w:highlight w:val="none"/>
          <w14:textFill>
            <w14:solidFill>
              <w14:schemeClr w14:val="tx1"/>
            </w14:solidFill>
          </w14:textFill>
        </w:rPr>
        <w:t>将设专门人员与供应商联系。</w:t>
      </w:r>
    </w:p>
    <w:p w14:paraId="5F80EFBC">
      <w:pPr>
        <w:spacing w:line="44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24</w:t>
      </w:r>
      <w:r>
        <w:rPr>
          <w:rFonts w:hint="eastAsia"/>
          <w:color w:val="000000" w:themeColor="text1"/>
          <w:sz w:val="24"/>
          <w:szCs w:val="24"/>
          <w:highlight w:val="none"/>
          <w14:textFill>
            <w14:solidFill>
              <w14:schemeClr w14:val="tx1"/>
            </w14:solidFill>
          </w14:textFill>
        </w:rPr>
        <w:t xml:space="preserve">.4 </w:t>
      </w:r>
      <w:r>
        <w:rPr>
          <w:rFonts w:hint="eastAsia"/>
          <w:color w:val="000000" w:themeColor="text1"/>
          <w:sz w:val="24"/>
          <w:szCs w:val="21"/>
          <w:highlight w:val="none"/>
          <w14:textFill>
            <w14:solidFill>
              <w14:schemeClr w14:val="tx1"/>
            </w14:solidFill>
          </w14:textFill>
        </w:rPr>
        <w:t>采购代理机构</w:t>
      </w:r>
      <w:r>
        <w:rPr>
          <w:rFonts w:hint="eastAsia"/>
          <w:color w:val="000000" w:themeColor="text1"/>
          <w:sz w:val="24"/>
          <w:szCs w:val="24"/>
          <w:highlight w:val="none"/>
          <w14:textFill>
            <w14:solidFill>
              <w14:schemeClr w14:val="tx1"/>
            </w14:solidFill>
          </w14:textFill>
        </w:rPr>
        <w:t>和磋商小组不向未成交的供应商解释未成交原因，也不公布评审过程中的相关细节。</w:t>
      </w:r>
    </w:p>
    <w:p w14:paraId="10A94E84">
      <w:pPr>
        <w:keepNext/>
        <w:keepLines/>
        <w:spacing w:line="440" w:lineRule="exact"/>
        <w:ind w:firstLine="420"/>
        <w:outlineLvl w:val="2"/>
        <w:rPr>
          <w:rFonts w:eastAsia="黑体" w:cs="Arial"/>
          <w:color w:val="000000" w:themeColor="text1"/>
          <w:sz w:val="28"/>
          <w:szCs w:val="28"/>
          <w:highlight w:val="none"/>
          <w14:textFill>
            <w14:solidFill>
              <w14:schemeClr w14:val="tx1"/>
            </w14:solidFill>
          </w14:textFill>
        </w:rPr>
      </w:pPr>
      <w:bookmarkStart w:id="165" w:name="_Toc513029232"/>
      <w:bookmarkStart w:id="166" w:name="_Toc20823304"/>
      <w:bookmarkStart w:id="167" w:name="_Toc16938548"/>
      <w:r>
        <w:rPr>
          <w:rFonts w:hint="eastAsia" w:eastAsia="黑体" w:cs="Arial"/>
          <w:color w:val="000000" w:themeColor="text1"/>
          <w:sz w:val="28"/>
          <w:szCs w:val="28"/>
          <w:highlight w:val="none"/>
          <w14:textFill>
            <w14:solidFill>
              <w14:schemeClr w14:val="tx1"/>
            </w14:solidFill>
          </w14:textFill>
        </w:rPr>
        <w:t>2</w:t>
      </w:r>
      <w:r>
        <w:rPr>
          <w:rFonts w:eastAsia="黑体" w:cs="Arial"/>
          <w:color w:val="000000" w:themeColor="text1"/>
          <w:sz w:val="28"/>
          <w:szCs w:val="28"/>
          <w:highlight w:val="none"/>
          <w14:textFill>
            <w14:solidFill>
              <w14:schemeClr w14:val="tx1"/>
            </w14:solidFill>
          </w14:textFill>
        </w:rPr>
        <w:t>5</w:t>
      </w:r>
      <w:r>
        <w:rPr>
          <w:rFonts w:hint="eastAsia" w:eastAsia="黑体" w:cs="Arial"/>
          <w:color w:val="000000" w:themeColor="text1"/>
          <w:sz w:val="28"/>
          <w:szCs w:val="28"/>
          <w:highlight w:val="none"/>
          <w14:textFill>
            <w14:solidFill>
              <w14:schemeClr w14:val="tx1"/>
            </w14:solidFill>
          </w14:textFill>
        </w:rPr>
        <w:t>、评审过程中的澄清</w:t>
      </w:r>
      <w:bookmarkEnd w:id="165"/>
      <w:bookmarkEnd w:id="166"/>
      <w:bookmarkEnd w:id="167"/>
    </w:p>
    <w:p w14:paraId="37E47FFF">
      <w:pPr>
        <w:spacing w:line="440" w:lineRule="exact"/>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9BD76D4">
      <w:pPr>
        <w:spacing w:line="440" w:lineRule="exact"/>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磋商小组并非对每个供应商都作澄清要求。</w:t>
      </w:r>
    </w:p>
    <w:p w14:paraId="58C78ACA">
      <w:pPr>
        <w:spacing w:line="440" w:lineRule="exact"/>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w:t>
      </w:r>
      <w:r>
        <w:rPr>
          <w:rFonts w:cs="宋体"/>
          <w:color w:val="000000" w:themeColor="text1"/>
          <w:sz w:val="24"/>
          <w:szCs w:val="24"/>
          <w:highlight w:val="none"/>
          <w14:textFill>
            <w14:solidFill>
              <w14:schemeClr w14:val="tx1"/>
            </w14:solidFill>
          </w14:textFill>
        </w:rPr>
        <w:t>5</w:t>
      </w:r>
      <w:r>
        <w:rPr>
          <w:rFonts w:hint="eastAsia" w:cs="宋体"/>
          <w:color w:val="000000" w:themeColor="text1"/>
          <w:sz w:val="24"/>
          <w:szCs w:val="24"/>
          <w:highlight w:val="none"/>
          <w14:textFill>
            <w14:solidFill>
              <w14:schemeClr w14:val="tx1"/>
            </w14:solidFill>
          </w14:textFill>
        </w:rPr>
        <w:t>.2需要供应商进行澄清、说明和更正的，本项目供应商的澄清、说明或者补正采用线上澄清，磋商小组将通过苏采云系统向供应商发布“澄清要求函”，接到“澄清要求函”的供应商应当按照要求在规定时间内通过苏采云系统中提交“澄清响应函”并加盖CA电子公章。澄清、说明和更正的内容作为响应文件的补充部分，具体</w:t>
      </w:r>
      <w:r>
        <w:rPr>
          <w:rFonts w:cs="宋体"/>
          <w:color w:val="000000" w:themeColor="text1"/>
          <w:sz w:val="24"/>
          <w:szCs w:val="24"/>
          <w:highlight w:val="none"/>
          <w14:textFill>
            <w14:solidFill>
              <w14:schemeClr w14:val="tx1"/>
            </w14:solidFill>
          </w14:textFill>
        </w:rPr>
        <w:t>操作</w:t>
      </w:r>
      <w:r>
        <w:rPr>
          <w:rFonts w:hint="eastAsia" w:cs="宋体"/>
          <w:color w:val="000000" w:themeColor="text1"/>
          <w:sz w:val="24"/>
          <w:szCs w:val="24"/>
          <w:highlight w:val="none"/>
          <w14:textFill>
            <w14:solidFill>
              <w14:schemeClr w14:val="tx1"/>
            </w14:solidFill>
          </w14:textFill>
        </w:rPr>
        <w:t>方式</w:t>
      </w:r>
      <w:r>
        <w:rPr>
          <w:rFonts w:cs="宋体"/>
          <w:color w:val="000000" w:themeColor="text1"/>
          <w:sz w:val="24"/>
          <w:szCs w:val="24"/>
          <w:highlight w:val="none"/>
          <w14:textFill>
            <w14:solidFill>
              <w14:schemeClr w14:val="tx1"/>
            </w14:solidFill>
          </w14:textFill>
        </w:rPr>
        <w:t>见</w:t>
      </w:r>
      <w:r>
        <w:rPr>
          <w:rFonts w:hint="eastAsia" w:cs="宋体"/>
          <w:color w:val="000000" w:themeColor="text1"/>
          <w:sz w:val="24"/>
          <w:szCs w:val="24"/>
          <w:highlight w:val="none"/>
          <w14:textFill>
            <w14:solidFill>
              <w14:schemeClr w14:val="tx1"/>
            </w14:solidFill>
          </w14:textFill>
        </w:rPr>
        <w:t>《操作手册》。</w:t>
      </w:r>
    </w:p>
    <w:p w14:paraId="2D5BD093">
      <w:pPr>
        <w:spacing w:line="440" w:lineRule="exact"/>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color w:val="000000" w:themeColor="text1"/>
          <w:sz w:val="24"/>
          <w:szCs w:val="24"/>
          <w:highlight w:val="none"/>
          <w14:textFill>
            <w14:solidFill>
              <w14:schemeClr w14:val="tx1"/>
            </w14:solidFill>
          </w14:textFill>
        </w:rPr>
        <w:t>5</w:t>
      </w:r>
      <w:r>
        <w:rPr>
          <w:rFonts w:hint="eastAsia"/>
          <w:color w:val="000000" w:themeColor="text1"/>
          <w:sz w:val="24"/>
          <w:szCs w:val="24"/>
          <w:highlight w:val="none"/>
          <w14:textFill>
            <w14:solidFill>
              <w14:schemeClr w14:val="tx1"/>
            </w14:solidFill>
          </w14:textFill>
        </w:rPr>
        <w:t>.3 接到磋商小组澄清、说明和更正要求的供应商如未按规定做出澄清、说明和 更正，其风险由供应商自行承担。</w:t>
      </w:r>
    </w:p>
    <w:p w14:paraId="152BFB94">
      <w:pPr>
        <w:keepNext/>
        <w:keepLines/>
        <w:spacing w:line="440" w:lineRule="exact"/>
        <w:ind w:firstLine="420"/>
        <w:outlineLvl w:val="2"/>
        <w:rPr>
          <w:rFonts w:eastAsia="黑体" w:cs="Arial"/>
          <w:color w:val="000000" w:themeColor="text1"/>
          <w:sz w:val="28"/>
          <w:szCs w:val="28"/>
          <w:highlight w:val="none"/>
          <w14:textFill>
            <w14:solidFill>
              <w14:schemeClr w14:val="tx1"/>
            </w14:solidFill>
          </w14:textFill>
        </w:rPr>
      </w:pPr>
      <w:bookmarkStart w:id="168" w:name="_Toc513029233"/>
      <w:bookmarkStart w:id="169" w:name="_Toc20823305"/>
      <w:bookmarkStart w:id="170" w:name="_Toc16938549"/>
      <w:r>
        <w:rPr>
          <w:rFonts w:hint="eastAsia" w:eastAsia="黑体" w:cs="Arial"/>
          <w:color w:val="000000" w:themeColor="text1"/>
          <w:sz w:val="28"/>
          <w:szCs w:val="28"/>
          <w:highlight w:val="none"/>
          <w14:textFill>
            <w14:solidFill>
              <w14:schemeClr w14:val="tx1"/>
            </w14:solidFill>
          </w14:textFill>
        </w:rPr>
        <w:t>2</w:t>
      </w:r>
      <w:r>
        <w:rPr>
          <w:rFonts w:eastAsia="黑体" w:cs="Arial"/>
          <w:color w:val="000000" w:themeColor="text1"/>
          <w:sz w:val="28"/>
          <w:szCs w:val="28"/>
          <w:highlight w:val="none"/>
          <w14:textFill>
            <w14:solidFill>
              <w14:schemeClr w14:val="tx1"/>
            </w14:solidFill>
          </w14:textFill>
        </w:rPr>
        <w:t>6</w:t>
      </w:r>
      <w:r>
        <w:rPr>
          <w:rFonts w:hint="eastAsia" w:eastAsia="黑体" w:cs="Arial"/>
          <w:color w:val="000000" w:themeColor="text1"/>
          <w:sz w:val="28"/>
          <w:szCs w:val="28"/>
          <w:highlight w:val="none"/>
          <w14:textFill>
            <w14:solidFill>
              <w14:schemeClr w14:val="tx1"/>
            </w14:solidFill>
          </w14:textFill>
        </w:rPr>
        <w:t>、对响应文件的审</w:t>
      </w:r>
      <w:bookmarkEnd w:id="168"/>
      <w:bookmarkEnd w:id="169"/>
      <w:bookmarkEnd w:id="170"/>
      <w:r>
        <w:rPr>
          <w:rFonts w:hint="eastAsia" w:eastAsia="黑体" w:cs="Arial"/>
          <w:color w:val="000000" w:themeColor="text1"/>
          <w:sz w:val="28"/>
          <w:szCs w:val="28"/>
          <w:highlight w:val="none"/>
          <w14:textFill>
            <w14:solidFill>
              <w14:schemeClr w14:val="tx1"/>
            </w14:solidFill>
          </w14:textFill>
        </w:rPr>
        <w:t>查</w:t>
      </w:r>
    </w:p>
    <w:p w14:paraId="1F76559D">
      <w:pPr>
        <w:spacing w:line="440" w:lineRule="exact"/>
        <w:ind w:firstLine="480"/>
        <w:outlineLvl w:val="3"/>
        <w:rPr>
          <w:bCs/>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2</w:t>
      </w:r>
      <w:r>
        <w:rPr>
          <w:color w:val="000000" w:themeColor="text1"/>
          <w:sz w:val="24"/>
          <w:szCs w:val="21"/>
          <w:highlight w:val="none"/>
          <w14:textFill>
            <w14:solidFill>
              <w14:schemeClr w14:val="tx1"/>
            </w14:solidFill>
          </w14:textFill>
        </w:rPr>
        <w:t>6</w:t>
      </w:r>
      <w:r>
        <w:rPr>
          <w:rFonts w:hint="eastAsia"/>
          <w:color w:val="000000" w:themeColor="text1"/>
          <w:sz w:val="24"/>
          <w:szCs w:val="21"/>
          <w:highlight w:val="none"/>
          <w14:textFill>
            <w14:solidFill>
              <w14:schemeClr w14:val="tx1"/>
            </w14:solidFill>
          </w14:textFill>
        </w:rPr>
        <w:t>.1</w:t>
      </w:r>
      <w:r>
        <w:rPr>
          <w:rFonts w:hint="eastAsia"/>
          <w:bCs/>
          <w:color w:val="000000" w:themeColor="text1"/>
          <w:sz w:val="24"/>
          <w:szCs w:val="21"/>
          <w:highlight w:val="none"/>
          <w14:textFill>
            <w14:solidFill>
              <w14:schemeClr w14:val="tx1"/>
            </w14:solidFill>
          </w14:textFill>
        </w:rPr>
        <w:t>响应文件审查分为资格审查和符合性审查。</w:t>
      </w:r>
    </w:p>
    <w:p w14:paraId="51A6DFBD">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w:t>
      </w:r>
      <w:r>
        <w:rPr>
          <w:bCs/>
          <w:color w:val="000000" w:themeColor="text1"/>
          <w:sz w:val="24"/>
          <w:szCs w:val="21"/>
          <w:highlight w:val="none"/>
          <w14:textFill>
            <w14:solidFill>
              <w14:schemeClr w14:val="tx1"/>
            </w14:solidFill>
          </w14:textFill>
        </w:rPr>
        <w:t>6</w:t>
      </w:r>
      <w:r>
        <w:rPr>
          <w:rFonts w:hint="eastAsia"/>
          <w:bCs/>
          <w:color w:val="000000" w:themeColor="text1"/>
          <w:sz w:val="24"/>
          <w:szCs w:val="21"/>
          <w:highlight w:val="none"/>
          <w14:textFill>
            <w14:solidFill>
              <w14:schemeClr w14:val="tx1"/>
            </w14:solidFill>
          </w14:textFill>
        </w:rPr>
        <w:t>.1.1 资格审查：由磋商小组依据法律法规和磋商文件的规定，对响应文件中的资格证明文件进行审查，以确定供应商是否具备参加磋商的资格。</w:t>
      </w:r>
    </w:p>
    <w:p w14:paraId="5B4A7EDD">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磋商小组在进行资格审查的同时，将在“信用中国”网站（www.creditchina.gov.cn）查询供应商的信用记录，以确定供应商是否具备磋商资格，查询结果留存并归档。</w:t>
      </w:r>
    </w:p>
    <w:p w14:paraId="21E3DBF1">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接受联合体的项目，两个以上的自然人、法人或者其他组织组成一个联合体，以一个供应商的身份共同参加政府采购活动的,联合体成员中任何一方存在不良信用记录的，视同联合体存在不良应用记录。</w:t>
      </w:r>
    </w:p>
    <w:p w14:paraId="53C7775B">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w:t>
      </w:r>
      <w:r>
        <w:rPr>
          <w:bCs/>
          <w:color w:val="000000" w:themeColor="text1"/>
          <w:sz w:val="24"/>
          <w:szCs w:val="21"/>
          <w:highlight w:val="none"/>
          <w14:textFill>
            <w14:solidFill>
              <w14:schemeClr w14:val="tx1"/>
            </w14:solidFill>
          </w14:textFill>
        </w:rPr>
        <w:t>6</w:t>
      </w:r>
      <w:r>
        <w:rPr>
          <w:rFonts w:hint="eastAsia"/>
          <w:bCs/>
          <w:color w:val="000000" w:themeColor="text1"/>
          <w:sz w:val="24"/>
          <w:szCs w:val="21"/>
          <w:highlight w:val="none"/>
          <w14:textFill>
            <w14:solidFill>
              <w14:schemeClr w14:val="tx1"/>
            </w14:solidFill>
          </w14:textFill>
        </w:rPr>
        <w:t>.1.2 符合性审查：依据磋商文件的规定，由磋商小组从响应文件的有效性、完整性和对磋商文件的响应程度进行审查，以确定是否对磋商文件的实质性要求作出响应。</w:t>
      </w:r>
    </w:p>
    <w:p w14:paraId="2B47B787">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w:t>
      </w:r>
      <w:r>
        <w:rPr>
          <w:bCs/>
          <w:color w:val="000000" w:themeColor="text1"/>
          <w:sz w:val="24"/>
          <w:szCs w:val="21"/>
          <w:highlight w:val="none"/>
          <w14:textFill>
            <w14:solidFill>
              <w14:schemeClr w14:val="tx1"/>
            </w14:solidFill>
          </w14:textFill>
        </w:rPr>
        <w:t>6</w:t>
      </w:r>
      <w:r>
        <w:rPr>
          <w:rFonts w:hint="eastAsia"/>
          <w:bCs/>
          <w:color w:val="000000" w:themeColor="text1"/>
          <w:sz w:val="24"/>
          <w:szCs w:val="21"/>
          <w:highlight w:val="none"/>
          <w14:textFill>
            <w14:solidFill>
              <w14:schemeClr w14:val="tx1"/>
            </w14:solidFill>
          </w14:textFill>
        </w:rPr>
        <w:t>.1.3 未通过资格审查或符合性审查的供应商，磋商小组将在</w:t>
      </w:r>
      <w:r>
        <w:rPr>
          <w:rFonts w:hint="eastAsia"/>
          <w:color w:val="000000" w:themeColor="text1"/>
          <w:sz w:val="24"/>
          <w:szCs w:val="24"/>
          <w:highlight w:val="none"/>
          <w14:textFill>
            <w14:solidFill>
              <w14:schemeClr w14:val="tx1"/>
            </w14:solidFill>
          </w14:textFill>
        </w:rPr>
        <w:t>苏采云系统</w:t>
      </w:r>
      <w:r>
        <w:rPr>
          <w:rFonts w:hint="eastAsia"/>
          <w:bCs/>
          <w:color w:val="000000" w:themeColor="text1"/>
          <w:sz w:val="24"/>
          <w:szCs w:val="21"/>
          <w:highlight w:val="none"/>
          <w14:textFill>
            <w14:solidFill>
              <w14:schemeClr w14:val="tx1"/>
            </w14:solidFill>
          </w14:textFill>
        </w:rPr>
        <w:t>中告知未通过资格审查或符合性审查的原因，评审结束后，磋商小组将不再告知未通过资格审查或符合性审查的原因。</w:t>
      </w:r>
    </w:p>
    <w:p w14:paraId="2A018732">
      <w:pPr>
        <w:spacing w:line="440" w:lineRule="exact"/>
        <w:ind w:firstLine="480"/>
        <w:rPr>
          <w:color w:val="000000" w:themeColor="text1"/>
          <w:sz w:val="24"/>
          <w:szCs w:val="24"/>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2</w:t>
      </w:r>
      <w:r>
        <w:rPr>
          <w:color w:val="000000" w:themeColor="text1"/>
          <w:sz w:val="24"/>
          <w:szCs w:val="21"/>
          <w:highlight w:val="none"/>
          <w14:textFill>
            <w14:solidFill>
              <w14:schemeClr w14:val="tx1"/>
            </w14:solidFill>
          </w14:textFill>
        </w:rPr>
        <w:t>6</w:t>
      </w:r>
      <w:r>
        <w:rPr>
          <w:rFonts w:hint="eastAsia"/>
          <w:color w:val="000000" w:themeColor="text1"/>
          <w:sz w:val="24"/>
          <w:szCs w:val="21"/>
          <w:highlight w:val="none"/>
          <w14:textFill>
            <w14:solidFill>
              <w14:schemeClr w14:val="tx1"/>
            </w14:solidFill>
          </w14:textFill>
        </w:rPr>
        <w:t>.2</w:t>
      </w:r>
      <w:r>
        <w:rPr>
          <w:rFonts w:hint="eastAsia"/>
          <w:color w:val="000000" w:themeColor="text1"/>
          <w:sz w:val="24"/>
          <w:szCs w:val="24"/>
          <w:highlight w:val="none"/>
          <w14:textFill>
            <w14:solidFill>
              <w14:schemeClr w14:val="tx1"/>
            </w14:solidFill>
          </w14:textFill>
        </w:rPr>
        <w:t>在详细评审之前，磋商小组将首先审查每份响应文件是否实质性响应了磋商文件的要求。实质性响应的响应文件应该是与磋商文件要求的条款、条件和规格相符，没有重大偏离或保留。</w:t>
      </w:r>
    </w:p>
    <w:p w14:paraId="00212F19">
      <w:pPr>
        <w:spacing w:line="440" w:lineRule="exact"/>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所谓重大偏离或保留是指与磋商文件规定的实质性要求存在负偏离，或者在实质上与磋商文件不一致，而且限制了合同中买方和</w:t>
      </w:r>
      <w:r>
        <w:rPr>
          <w:rFonts w:hint="eastAsia"/>
          <w:color w:val="000000" w:themeColor="text1"/>
          <w:sz w:val="24"/>
          <w:szCs w:val="21"/>
          <w:highlight w:val="none"/>
          <w14:textFill>
            <w14:solidFill>
              <w14:schemeClr w14:val="tx1"/>
            </w14:solidFill>
          </w14:textFill>
        </w:rPr>
        <w:t>采购代理机构</w:t>
      </w:r>
      <w:r>
        <w:rPr>
          <w:rFonts w:hint="eastAsia"/>
          <w:color w:val="000000" w:themeColor="text1"/>
          <w:sz w:val="24"/>
          <w:szCs w:val="24"/>
          <w:highlight w:val="none"/>
          <w14:textFill>
            <w14:solidFill>
              <w14:schemeClr w14:val="tx1"/>
            </w14:solidFill>
          </w14:textFill>
        </w:rPr>
        <w:t>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3CC6A0FF">
      <w:pPr>
        <w:spacing w:line="440" w:lineRule="exact"/>
        <w:ind w:firstLine="480"/>
        <w:outlineLvl w:val="3"/>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26.3未实质性响应磋商文件的情形</w:t>
      </w:r>
    </w:p>
    <w:p w14:paraId="61882FDC">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26.3.1供应商在</w:t>
      </w:r>
      <w:r>
        <w:rPr>
          <w:rFonts w:hint="eastAsia"/>
          <w:color w:val="000000" w:themeColor="text1"/>
          <w:sz w:val="24"/>
          <w:szCs w:val="24"/>
          <w:highlight w:val="none"/>
          <w14:textFill>
            <w14:solidFill>
              <w14:schemeClr w14:val="tx1"/>
            </w14:solidFill>
          </w14:textFill>
        </w:rPr>
        <w:t>苏采云系统</w:t>
      </w:r>
      <w:r>
        <w:rPr>
          <w:rFonts w:hint="eastAsia"/>
          <w:bCs/>
          <w:color w:val="000000" w:themeColor="text1"/>
          <w:sz w:val="24"/>
          <w:szCs w:val="21"/>
          <w:highlight w:val="none"/>
          <w14:textFill>
            <w14:solidFill>
              <w14:schemeClr w14:val="tx1"/>
            </w14:solidFill>
          </w14:textFill>
        </w:rPr>
        <w:t>规定的时间内未成功解密电子响应文件的。</w:t>
      </w:r>
    </w:p>
    <w:p w14:paraId="0809BC71">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26.3.2供应商未按照磋商文件要求上传电子响应文件的。</w:t>
      </w:r>
    </w:p>
    <w:p w14:paraId="526C68F3">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26.3.3同一供应商提交两个（含两个）以上不同的响应文件或者最后报价的。</w:t>
      </w:r>
    </w:p>
    <w:p w14:paraId="56088273">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26.3.4供应商不具备磋商文件中规定资格要求的。</w:t>
      </w:r>
    </w:p>
    <w:p w14:paraId="4B73397D">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26.3.5供应商的最后报价超过了采购预算。</w:t>
      </w:r>
    </w:p>
    <w:p w14:paraId="2661850F">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26.3.6不符合磋商文件中规定的实质性要求和条件的</w:t>
      </w:r>
      <w:r>
        <w:rPr>
          <w:rFonts w:hint="eastAsia"/>
          <w:bCs/>
          <w:i/>
          <w:color w:val="000000" w:themeColor="text1"/>
          <w:sz w:val="24"/>
          <w:szCs w:val="21"/>
          <w:highlight w:val="none"/>
          <w:u w:val="single"/>
          <w14:textFill>
            <w14:solidFill>
              <w14:schemeClr w14:val="tx1"/>
            </w14:solidFill>
          </w14:textFill>
        </w:rPr>
        <w:t>（加斜体下划线内容或打“</w:t>
      </w:r>
      <w:r>
        <w:rPr>
          <w:rFonts w:hint="eastAsia"/>
          <w:b/>
          <w:bCs/>
          <w:color w:val="000000" w:themeColor="text1"/>
          <w:sz w:val="24"/>
          <w:highlight w:val="none"/>
          <w:u w:val="single"/>
          <w14:textFill>
            <w14:solidFill>
              <w14:schemeClr w14:val="tx1"/>
            </w14:solidFill>
          </w14:textFill>
        </w:rPr>
        <w:t>★”</w:t>
      </w:r>
      <w:r>
        <w:rPr>
          <w:rFonts w:hint="eastAsia"/>
          <w:i/>
          <w:iCs/>
          <w:color w:val="000000" w:themeColor="text1"/>
          <w:sz w:val="24"/>
          <w:highlight w:val="none"/>
          <w:u w:val="single"/>
          <w14:textFill>
            <w14:solidFill>
              <w14:schemeClr w14:val="tx1"/>
            </w14:solidFill>
          </w14:textFill>
        </w:rPr>
        <w:t>内容</w:t>
      </w:r>
      <w:r>
        <w:rPr>
          <w:rFonts w:hint="eastAsia"/>
          <w:bCs/>
          <w:i/>
          <w:color w:val="000000" w:themeColor="text1"/>
          <w:sz w:val="24"/>
          <w:highlight w:val="none"/>
          <w:u w:val="single"/>
          <w14:textFill>
            <w14:solidFill>
              <w14:schemeClr w14:val="tx1"/>
            </w14:solidFill>
          </w14:textFill>
        </w:rPr>
        <w:t>为实质性要求和条件）</w:t>
      </w:r>
      <w:r>
        <w:rPr>
          <w:rFonts w:hint="eastAsia"/>
          <w:bCs/>
          <w:i/>
          <w:color w:val="000000" w:themeColor="text1"/>
          <w:sz w:val="24"/>
          <w:szCs w:val="21"/>
          <w:highlight w:val="none"/>
          <w:u w:val="single"/>
          <w14:textFill>
            <w14:solidFill>
              <w14:schemeClr w14:val="tx1"/>
            </w14:solidFill>
          </w14:textFill>
        </w:rPr>
        <w:t>。</w:t>
      </w:r>
    </w:p>
    <w:p w14:paraId="02CE8BDF">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34C9CA61">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26.3.8响应文件含有采购人不能接受的附加条件的。</w:t>
      </w:r>
    </w:p>
    <w:p w14:paraId="04E33D79">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26.3.9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14:paraId="12AEB90A">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26.3.10响应文件未按照磋商文件要求加盖CA电子公章的。</w:t>
      </w:r>
    </w:p>
    <w:p w14:paraId="7FC55926">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26.4未实质性响应磋商文件的响应文件按无效响应处理。</w:t>
      </w:r>
    </w:p>
    <w:p w14:paraId="318560D4">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26.5如果响应文件实质上没有响应磋商文件的要求，磋商小组将予以拒绝，供应商不得通过修改或撤销不合要求的偏离或保留而使其成为实质性响应的文件。</w:t>
      </w:r>
    </w:p>
    <w:p w14:paraId="42D6362B">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26.6供应商在项目评审全过程中应保持通讯畅通，并安排专人与采购代理机构及磋商小组联系。</w:t>
      </w:r>
    </w:p>
    <w:p w14:paraId="57311196">
      <w:pPr>
        <w:keepNext/>
        <w:keepLines/>
        <w:spacing w:line="440" w:lineRule="exact"/>
        <w:ind w:firstLine="420"/>
        <w:outlineLvl w:val="2"/>
        <w:rPr>
          <w:rFonts w:eastAsia="黑体" w:cs="Arial"/>
          <w:color w:val="000000" w:themeColor="text1"/>
          <w:sz w:val="28"/>
          <w:szCs w:val="28"/>
          <w:highlight w:val="none"/>
          <w14:textFill>
            <w14:solidFill>
              <w14:schemeClr w14:val="tx1"/>
            </w14:solidFill>
          </w14:textFill>
        </w:rPr>
      </w:pPr>
      <w:bookmarkStart w:id="171" w:name="_Toc513029234"/>
      <w:bookmarkStart w:id="172" w:name="_Toc20823306"/>
      <w:bookmarkStart w:id="173" w:name="_Toc16938550"/>
      <w:r>
        <w:rPr>
          <w:rFonts w:hint="eastAsia" w:eastAsia="黑体" w:cs="Arial"/>
          <w:color w:val="000000" w:themeColor="text1"/>
          <w:sz w:val="28"/>
          <w:szCs w:val="28"/>
          <w:highlight w:val="none"/>
          <w14:textFill>
            <w14:solidFill>
              <w14:schemeClr w14:val="tx1"/>
            </w14:solidFill>
          </w14:textFill>
        </w:rPr>
        <w:t>2</w:t>
      </w:r>
      <w:r>
        <w:rPr>
          <w:rFonts w:eastAsia="黑体" w:cs="Arial"/>
          <w:color w:val="000000" w:themeColor="text1"/>
          <w:sz w:val="28"/>
          <w:szCs w:val="28"/>
          <w:highlight w:val="none"/>
          <w14:textFill>
            <w14:solidFill>
              <w14:schemeClr w14:val="tx1"/>
            </w14:solidFill>
          </w14:textFill>
        </w:rPr>
        <w:t>7</w:t>
      </w:r>
      <w:r>
        <w:rPr>
          <w:rFonts w:hint="eastAsia" w:eastAsia="黑体" w:cs="Arial"/>
          <w:color w:val="000000" w:themeColor="text1"/>
          <w:sz w:val="28"/>
          <w:szCs w:val="28"/>
          <w:highlight w:val="none"/>
          <w14:textFill>
            <w14:solidFill>
              <w14:schemeClr w14:val="tx1"/>
            </w14:solidFill>
          </w14:textFill>
        </w:rPr>
        <w:t>、</w:t>
      </w:r>
      <w:bookmarkEnd w:id="171"/>
      <w:bookmarkEnd w:id="172"/>
      <w:bookmarkEnd w:id="173"/>
      <w:r>
        <w:rPr>
          <w:rFonts w:hint="eastAsia" w:eastAsia="黑体" w:cs="Arial"/>
          <w:color w:val="000000" w:themeColor="text1"/>
          <w:sz w:val="28"/>
          <w:szCs w:val="28"/>
          <w:highlight w:val="none"/>
          <w14:textFill>
            <w14:solidFill>
              <w14:schemeClr w14:val="tx1"/>
            </w14:solidFill>
          </w14:textFill>
        </w:rPr>
        <w:t>磋商程序及评审方法和评审标准</w:t>
      </w:r>
    </w:p>
    <w:p w14:paraId="2E92296C">
      <w:pPr>
        <w:tabs>
          <w:tab w:val="left" w:pos="900"/>
        </w:tabs>
        <w:spacing w:line="440" w:lineRule="exact"/>
        <w:ind w:firstLine="477"/>
        <w:outlineLvl w:val="3"/>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27.1磋商程序</w:t>
      </w:r>
    </w:p>
    <w:p w14:paraId="1CB7D7BD">
      <w:pPr>
        <w:tabs>
          <w:tab w:val="left" w:pos="900"/>
        </w:tabs>
        <w:spacing w:line="440" w:lineRule="exact"/>
        <w:ind w:firstLine="4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48EE7300">
      <w:pPr>
        <w:tabs>
          <w:tab w:val="left" w:pos="900"/>
        </w:tabs>
        <w:spacing w:line="440" w:lineRule="exact"/>
        <w:ind w:firstLine="4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270B4F2A">
      <w:pPr>
        <w:tabs>
          <w:tab w:val="left" w:pos="900"/>
        </w:tabs>
        <w:spacing w:line="440" w:lineRule="exact"/>
        <w:ind w:firstLine="4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27.1.2</w:t>
      </w:r>
      <w:r>
        <w:rPr>
          <w:color w:val="000000" w:themeColor="text1"/>
          <w:sz w:val="24"/>
          <w:szCs w:val="24"/>
          <w:highlight w:val="none"/>
          <w14:textFill>
            <w14:solidFill>
              <w14:schemeClr w14:val="tx1"/>
            </w14:solidFill>
          </w14:textFill>
        </w:rPr>
        <w:t>磋商文件能够详细列明采购标的的技术、服务要求的，磋商结束后，磋商小组</w:t>
      </w:r>
      <w:r>
        <w:rPr>
          <w:rFonts w:hint="eastAsia"/>
          <w:color w:val="000000" w:themeColor="text1"/>
          <w:sz w:val="24"/>
          <w:szCs w:val="24"/>
          <w:highlight w:val="none"/>
          <w14:textFill>
            <w14:solidFill>
              <w14:schemeClr w14:val="tx1"/>
            </w14:solidFill>
          </w14:textFill>
        </w:rPr>
        <w:t>将在苏采云系统向所有</w:t>
      </w:r>
      <w:r>
        <w:rPr>
          <w:color w:val="000000" w:themeColor="text1"/>
          <w:sz w:val="24"/>
          <w:szCs w:val="24"/>
          <w:highlight w:val="none"/>
          <w14:textFill>
            <w14:solidFill>
              <w14:schemeClr w14:val="tx1"/>
            </w14:solidFill>
          </w14:textFill>
        </w:rPr>
        <w:t>实质性响应的供应商</w:t>
      </w:r>
      <w:r>
        <w:rPr>
          <w:rFonts w:hint="eastAsia"/>
          <w:color w:val="000000" w:themeColor="text1"/>
          <w:sz w:val="24"/>
          <w:szCs w:val="24"/>
          <w:highlight w:val="none"/>
          <w14:textFill>
            <w14:solidFill>
              <w14:schemeClr w14:val="tx1"/>
            </w14:solidFill>
          </w14:textFill>
        </w:rPr>
        <w:t>发布“最后报价要求函”及最后报价格式表，</w:t>
      </w:r>
      <w:r>
        <w:rPr>
          <w:color w:val="000000" w:themeColor="text1"/>
          <w:sz w:val="24"/>
          <w:szCs w:val="24"/>
          <w:highlight w:val="none"/>
          <w14:textFill>
            <w14:solidFill>
              <w14:schemeClr w14:val="tx1"/>
            </w14:solidFill>
          </w14:textFill>
        </w:rPr>
        <w:t>要求所有实质性响应的供应商在规定时间内提交最后报价。</w:t>
      </w:r>
    </w:p>
    <w:p w14:paraId="6D4DE260">
      <w:pPr>
        <w:tabs>
          <w:tab w:val="left" w:pos="900"/>
        </w:tabs>
        <w:spacing w:line="440" w:lineRule="exact"/>
        <w:ind w:firstLine="4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3A885321">
      <w:pPr>
        <w:tabs>
          <w:tab w:val="left" w:pos="900"/>
        </w:tabs>
        <w:spacing w:line="440" w:lineRule="exact"/>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最后报价是供应商响应文件的有效组成部分。符合《政府采购竞争性磋商采购方式管理暂行办法》第三条第一款第四项及《财政部关于竞争性磋商采购方式管理暂行办法有关问题的补充通知》（财库[2015]124号）规定情形的，提交最后报价的供应商可以为2家。</w:t>
      </w:r>
    </w:p>
    <w:p w14:paraId="4CD6D813">
      <w:pPr>
        <w:tabs>
          <w:tab w:val="left" w:pos="900"/>
        </w:tabs>
        <w:spacing w:line="440" w:lineRule="exact"/>
        <w:ind w:firstLine="4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27.1.3供应商未在磋商小组规定的时间内在苏采云系统中提交最后报价的视为放弃磋商，其响应文件按无效响应处理，最后报价格式表须加盖CA电子公章，否则视为未提交最后报价。</w:t>
      </w:r>
      <w:r>
        <w:rPr>
          <w:color w:val="000000" w:themeColor="text1"/>
          <w:sz w:val="24"/>
          <w:szCs w:val="24"/>
          <w:highlight w:val="none"/>
          <w14:textFill>
            <w14:solidFill>
              <w14:schemeClr w14:val="tx1"/>
            </w14:solidFill>
          </w14:textFill>
        </w:rPr>
        <w:t>已提交响应文件的供应商，在提交最后报价之前，可以根据磋商情况退出磋商</w:t>
      </w:r>
      <w:r>
        <w:rPr>
          <w:rFonts w:hint="eastAsia"/>
          <w:color w:val="000000" w:themeColor="text1"/>
          <w:sz w:val="24"/>
          <w:szCs w:val="24"/>
          <w:highlight w:val="none"/>
          <w14:textFill>
            <w14:solidFill>
              <w14:schemeClr w14:val="tx1"/>
            </w14:solidFill>
          </w14:textFill>
        </w:rPr>
        <w:t>，并在苏采云系统中提交“退出磋商函”并加盖CA电子公章</w:t>
      </w:r>
      <w:r>
        <w:rPr>
          <w:color w:val="000000" w:themeColor="text1"/>
          <w:sz w:val="24"/>
          <w:szCs w:val="24"/>
          <w:highlight w:val="none"/>
          <w14:textFill>
            <w14:solidFill>
              <w14:schemeClr w14:val="tx1"/>
            </w14:solidFill>
          </w14:textFill>
        </w:rPr>
        <w:t>。</w:t>
      </w:r>
    </w:p>
    <w:p w14:paraId="0E29F027">
      <w:pPr>
        <w:tabs>
          <w:tab w:val="left" w:pos="900"/>
        </w:tabs>
        <w:spacing w:line="440" w:lineRule="exact"/>
        <w:ind w:firstLine="477"/>
        <w:outlineLvl w:val="3"/>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27.2 评审方法和评审标准</w:t>
      </w:r>
    </w:p>
    <w:p w14:paraId="53B99C10">
      <w:pPr>
        <w:tabs>
          <w:tab w:val="left" w:pos="900"/>
        </w:tabs>
        <w:spacing w:line="440" w:lineRule="exact"/>
        <w:ind w:firstLine="4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27.2.1评审方法。经磋商确定最终采购需求和提交最后报价的供应商后，由磋商小组采用综合评分法对提交最后报价的供应商的响应文件和最后报价进行综合评分。</w:t>
      </w:r>
    </w:p>
    <w:p w14:paraId="27755498">
      <w:pPr>
        <w:tabs>
          <w:tab w:val="left" w:pos="900"/>
        </w:tabs>
        <w:spacing w:line="440" w:lineRule="exact"/>
        <w:ind w:firstLine="4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3AD824FC">
      <w:pPr>
        <w:tabs>
          <w:tab w:val="left" w:pos="900"/>
        </w:tabs>
        <w:spacing w:line="440" w:lineRule="exact"/>
        <w:ind w:firstLine="4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27.2.2评审标准</w:t>
      </w:r>
    </w:p>
    <w:p w14:paraId="4586D32A">
      <w:pPr>
        <w:tabs>
          <w:tab w:val="left" w:pos="900"/>
        </w:tabs>
        <w:spacing w:line="440" w:lineRule="exact"/>
        <w:ind w:firstLine="4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见本磋商文件第五章规定。</w:t>
      </w:r>
    </w:p>
    <w:p w14:paraId="246733BA">
      <w:pPr>
        <w:tabs>
          <w:tab w:val="left" w:pos="900"/>
        </w:tabs>
        <w:spacing w:line="440" w:lineRule="exact"/>
        <w:ind w:firstLine="477"/>
        <w:outlineLvl w:val="3"/>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27.3采购活动终止的情况</w:t>
      </w:r>
    </w:p>
    <w:p w14:paraId="6E04214B">
      <w:pPr>
        <w:tabs>
          <w:tab w:val="left" w:pos="900"/>
        </w:tabs>
        <w:spacing w:line="440" w:lineRule="exact"/>
        <w:ind w:firstLine="36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出现下列情形之一的，本次竞争性磋商采购活动将被终止：</w:t>
      </w:r>
    </w:p>
    <w:p w14:paraId="5BE9E916">
      <w:pPr>
        <w:tabs>
          <w:tab w:val="left" w:pos="900"/>
        </w:tabs>
        <w:spacing w:line="440" w:lineRule="exact"/>
        <w:ind w:firstLine="36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27.3.1因情况变化，不再符合规定的竞争性磋商采购方式适用情形的。</w:t>
      </w:r>
    </w:p>
    <w:p w14:paraId="78EDFA42">
      <w:pPr>
        <w:tabs>
          <w:tab w:val="left" w:pos="900"/>
        </w:tabs>
        <w:spacing w:line="440" w:lineRule="exact"/>
        <w:ind w:firstLine="36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27.3.2出现影响采购公正的违法、违规行为的。</w:t>
      </w:r>
    </w:p>
    <w:p w14:paraId="4544155C">
      <w:pPr>
        <w:tabs>
          <w:tab w:val="left" w:pos="900"/>
        </w:tabs>
        <w:spacing w:line="440" w:lineRule="exact"/>
        <w:ind w:firstLine="36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27.3.3除本磋商文件第二章第27.1.2条第三款规定的情形外，在采购过程中符合要求的供应商或者最后报价未超过采购预算的供应商不足3家的。</w:t>
      </w:r>
    </w:p>
    <w:p w14:paraId="06DDD517">
      <w:pPr>
        <w:tabs>
          <w:tab w:val="left" w:pos="900"/>
        </w:tabs>
        <w:spacing w:line="440" w:lineRule="exact"/>
        <w:ind w:firstLine="36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27.3.4在</w:t>
      </w:r>
      <w:r>
        <w:rPr>
          <w:rFonts w:hint="eastAsia"/>
          <w:color w:val="000000" w:themeColor="text1"/>
          <w:sz w:val="24"/>
          <w:szCs w:val="24"/>
          <w:highlight w:val="none"/>
          <w14:textFill>
            <w14:solidFill>
              <w14:schemeClr w14:val="tx1"/>
            </w14:solidFill>
          </w14:textFill>
        </w:rPr>
        <w:t>苏采云系统</w:t>
      </w:r>
      <w:r>
        <w:rPr>
          <w:rFonts w:hint="eastAsia" w:cs="宋体"/>
          <w:color w:val="000000" w:themeColor="text1"/>
          <w:sz w:val="24"/>
          <w:szCs w:val="24"/>
          <w:highlight w:val="none"/>
          <w14:textFill>
            <w14:solidFill>
              <w14:schemeClr w14:val="tx1"/>
            </w14:solidFill>
          </w14:textFill>
        </w:rPr>
        <w:t>规定时间内成功解密电子响应文件的供应商不足3家的。</w:t>
      </w:r>
    </w:p>
    <w:p w14:paraId="38A7A5B4">
      <w:pPr>
        <w:keepNext/>
        <w:keepLines/>
        <w:spacing w:line="440" w:lineRule="exact"/>
        <w:ind w:firstLine="482"/>
        <w:outlineLvl w:val="1"/>
        <w:rPr>
          <w:b/>
          <w:bCs/>
          <w:color w:val="000000" w:themeColor="text1"/>
          <w:sz w:val="32"/>
          <w:szCs w:val="32"/>
          <w:highlight w:val="none"/>
          <w14:textFill>
            <w14:solidFill>
              <w14:schemeClr w14:val="tx1"/>
            </w14:solidFill>
          </w14:textFill>
        </w:rPr>
      </w:pPr>
      <w:bookmarkStart w:id="174" w:name="_Toc120614219"/>
      <w:bookmarkStart w:id="175" w:name="_Toc16938551"/>
      <w:bookmarkStart w:id="176" w:name="_Toc513029235"/>
      <w:bookmarkStart w:id="177" w:name="_Toc20823307"/>
      <w:r>
        <w:rPr>
          <w:rFonts w:hint="eastAsia"/>
          <w:b/>
          <w:bCs/>
          <w:color w:val="000000" w:themeColor="text1"/>
          <w:sz w:val="32"/>
          <w:szCs w:val="32"/>
          <w:highlight w:val="none"/>
          <w14:textFill>
            <w14:solidFill>
              <w14:schemeClr w14:val="tx1"/>
            </w14:solidFill>
          </w14:textFill>
        </w:rPr>
        <w:t>六、</w:t>
      </w:r>
      <w:bookmarkEnd w:id="174"/>
      <w:bookmarkEnd w:id="175"/>
      <w:bookmarkEnd w:id="176"/>
      <w:bookmarkEnd w:id="177"/>
      <w:r>
        <w:rPr>
          <w:rFonts w:hint="eastAsia"/>
          <w:b/>
          <w:bCs/>
          <w:color w:val="000000" w:themeColor="text1"/>
          <w:sz w:val="32"/>
          <w:szCs w:val="32"/>
          <w:highlight w:val="none"/>
          <w14:textFill>
            <w14:solidFill>
              <w14:schemeClr w14:val="tx1"/>
            </w14:solidFill>
          </w14:textFill>
        </w:rPr>
        <w:t>成交</w:t>
      </w:r>
    </w:p>
    <w:p w14:paraId="643EAC43">
      <w:pPr>
        <w:keepNext/>
        <w:keepLines/>
        <w:spacing w:line="440" w:lineRule="exact"/>
        <w:ind w:firstLine="600"/>
        <w:outlineLvl w:val="2"/>
        <w:rPr>
          <w:rFonts w:eastAsia="黑体"/>
          <w:bCs/>
          <w:color w:val="000000" w:themeColor="text1"/>
          <w:sz w:val="30"/>
          <w:szCs w:val="30"/>
          <w:highlight w:val="none"/>
          <w14:textFill>
            <w14:solidFill>
              <w14:schemeClr w14:val="tx1"/>
            </w14:solidFill>
          </w14:textFill>
        </w:rPr>
      </w:pPr>
      <w:bookmarkStart w:id="178" w:name="_Toc513029238"/>
      <w:bookmarkStart w:id="179" w:name="_Toc20823310"/>
      <w:bookmarkStart w:id="180" w:name="_Toc16938554"/>
      <w:r>
        <w:rPr>
          <w:rFonts w:hint="eastAsia" w:eastAsia="黑体"/>
          <w:bCs/>
          <w:color w:val="000000" w:themeColor="text1"/>
          <w:sz w:val="30"/>
          <w:szCs w:val="30"/>
          <w:highlight w:val="none"/>
          <w14:textFill>
            <w14:solidFill>
              <w14:schemeClr w14:val="tx1"/>
            </w14:solidFill>
          </w14:textFill>
        </w:rPr>
        <w:t>2</w:t>
      </w:r>
      <w:r>
        <w:rPr>
          <w:rFonts w:eastAsia="黑体"/>
          <w:bCs/>
          <w:color w:val="000000" w:themeColor="text1"/>
          <w:sz w:val="30"/>
          <w:szCs w:val="30"/>
          <w:highlight w:val="none"/>
          <w14:textFill>
            <w14:solidFill>
              <w14:schemeClr w14:val="tx1"/>
            </w14:solidFill>
          </w14:textFill>
        </w:rPr>
        <w:t>8</w:t>
      </w:r>
      <w:r>
        <w:rPr>
          <w:rFonts w:hint="eastAsia" w:eastAsia="黑体"/>
          <w:bCs/>
          <w:color w:val="000000" w:themeColor="text1"/>
          <w:sz w:val="30"/>
          <w:szCs w:val="30"/>
          <w:highlight w:val="none"/>
          <w14:textFill>
            <w14:solidFill>
              <w14:schemeClr w14:val="tx1"/>
            </w14:solidFill>
          </w14:textFill>
        </w:rPr>
        <w:t>、</w:t>
      </w:r>
      <w:bookmarkEnd w:id="178"/>
      <w:r>
        <w:rPr>
          <w:rFonts w:hint="eastAsia" w:eastAsia="黑体"/>
          <w:bCs/>
          <w:color w:val="000000" w:themeColor="text1"/>
          <w:sz w:val="30"/>
          <w:szCs w:val="30"/>
          <w:highlight w:val="none"/>
          <w14:textFill>
            <w14:solidFill>
              <w14:schemeClr w14:val="tx1"/>
            </w14:solidFill>
          </w14:textFill>
        </w:rPr>
        <w:t>确定</w:t>
      </w:r>
      <w:bookmarkEnd w:id="179"/>
      <w:bookmarkEnd w:id="180"/>
      <w:r>
        <w:rPr>
          <w:rFonts w:hint="eastAsia" w:eastAsia="黑体"/>
          <w:bCs/>
          <w:color w:val="000000" w:themeColor="text1"/>
          <w:sz w:val="30"/>
          <w:szCs w:val="30"/>
          <w:highlight w:val="none"/>
          <w14:textFill>
            <w14:solidFill>
              <w14:schemeClr w14:val="tx1"/>
            </w14:solidFill>
          </w14:textFill>
        </w:rPr>
        <w:t>成交单位</w:t>
      </w:r>
    </w:p>
    <w:p w14:paraId="0BE57A02">
      <w:pPr>
        <w:tabs>
          <w:tab w:val="left" w:pos="900"/>
        </w:tabs>
        <w:spacing w:line="440" w:lineRule="exact"/>
        <w:ind w:firstLine="477"/>
        <w:rPr>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w:t>
      </w:r>
      <w:r>
        <w:rPr>
          <w:bCs/>
          <w:color w:val="000000" w:themeColor="text1"/>
          <w:sz w:val="24"/>
          <w:szCs w:val="21"/>
          <w:highlight w:val="none"/>
          <w14:textFill>
            <w14:solidFill>
              <w14:schemeClr w14:val="tx1"/>
            </w14:solidFill>
          </w14:textFill>
        </w:rPr>
        <w:t>8</w:t>
      </w:r>
      <w:r>
        <w:rPr>
          <w:rFonts w:hint="eastAsia"/>
          <w:bCs/>
          <w:color w:val="000000" w:themeColor="text1"/>
          <w:sz w:val="24"/>
          <w:szCs w:val="21"/>
          <w:highlight w:val="none"/>
          <w14:textFill>
            <w14:solidFill>
              <w14:schemeClr w14:val="tx1"/>
            </w14:solidFill>
          </w14:textFill>
        </w:rPr>
        <w:t>.1</w:t>
      </w:r>
      <w:r>
        <w:rPr>
          <w:rFonts w:hint="eastAsia"/>
          <w:color w:val="000000" w:themeColor="text1"/>
          <w:sz w:val="24"/>
          <w:szCs w:val="21"/>
          <w:highlight w:val="none"/>
          <w14:textFill>
            <w14:solidFill>
              <w14:schemeClr w14:val="tx1"/>
            </w14:solidFill>
          </w14:textFill>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2A2AE264">
      <w:pPr>
        <w:tabs>
          <w:tab w:val="left" w:pos="900"/>
        </w:tabs>
        <w:spacing w:line="440" w:lineRule="exact"/>
        <w:ind w:firstLine="477"/>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14:paraId="71FE4466">
      <w:pPr>
        <w:tabs>
          <w:tab w:val="left" w:pos="900"/>
        </w:tabs>
        <w:spacing w:line="440" w:lineRule="exact"/>
        <w:ind w:firstLine="477"/>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w:t>
      </w:r>
      <w:r>
        <w:rPr>
          <w:bCs/>
          <w:color w:val="000000" w:themeColor="text1"/>
          <w:sz w:val="24"/>
          <w:szCs w:val="21"/>
          <w:highlight w:val="none"/>
          <w14:textFill>
            <w14:solidFill>
              <w14:schemeClr w14:val="tx1"/>
            </w14:solidFill>
          </w14:textFill>
        </w:rPr>
        <w:t>8</w:t>
      </w:r>
      <w:r>
        <w:rPr>
          <w:rFonts w:hint="eastAsia"/>
          <w:bCs/>
          <w:color w:val="000000" w:themeColor="text1"/>
          <w:sz w:val="24"/>
          <w:szCs w:val="21"/>
          <w:highlight w:val="none"/>
          <w14:textFill>
            <w14:solidFill>
              <w14:schemeClr w14:val="tx1"/>
            </w14:solidFill>
          </w14:textFill>
        </w:rPr>
        <w:t>.2采购人从评审报告提出的成交候选供应商中，按照排序由高到低的原则确定成交供应商。</w:t>
      </w:r>
    </w:p>
    <w:p w14:paraId="40D2321C">
      <w:pPr>
        <w:spacing w:line="440" w:lineRule="exact"/>
        <w:ind w:firstLine="480"/>
        <w:rPr>
          <w:bCs/>
          <w:color w:val="000000" w:themeColor="text1"/>
          <w:sz w:val="24"/>
          <w:highlight w:val="none"/>
          <w:lang w:val="zh-CN"/>
          <w14:textFill>
            <w14:solidFill>
              <w14:schemeClr w14:val="tx1"/>
            </w14:solidFill>
          </w14:textFill>
        </w:rPr>
      </w:pPr>
      <w:r>
        <w:rPr>
          <w:rFonts w:hint="eastAsia"/>
          <w:bCs/>
          <w:color w:val="000000" w:themeColor="text1"/>
          <w:sz w:val="24"/>
          <w:highlight w:val="none"/>
          <w:lang w:val="zh-CN"/>
          <w14:textFill>
            <w14:solidFill>
              <w14:schemeClr w14:val="tx1"/>
            </w14:solidFill>
          </w14:textFill>
        </w:rPr>
        <w:t>按以下第</w:t>
      </w:r>
      <w:r>
        <w:rPr>
          <w:rFonts w:hint="eastAsia"/>
          <w:bCs/>
          <w:color w:val="000000" w:themeColor="text1"/>
          <w:sz w:val="24"/>
          <w:highlight w:val="none"/>
          <w:u w:val="single"/>
          <w:lang w:val="zh-CN"/>
          <w14:textFill>
            <w14:solidFill>
              <w14:schemeClr w14:val="tx1"/>
            </w14:solidFill>
          </w14:textFill>
        </w:rPr>
        <w:t>（</w:t>
      </w:r>
      <w:r>
        <w:rPr>
          <w:rFonts w:hint="eastAsia"/>
          <w:bCs/>
          <w:color w:val="000000" w:themeColor="text1"/>
          <w:sz w:val="24"/>
          <w:highlight w:val="none"/>
          <w:u w:val="single"/>
          <w14:textFill>
            <w14:solidFill>
              <w14:schemeClr w14:val="tx1"/>
            </w14:solidFill>
          </w14:textFill>
        </w:rPr>
        <w:t>1</w:t>
      </w:r>
      <w:r>
        <w:rPr>
          <w:rFonts w:hint="eastAsia"/>
          <w:bCs/>
          <w:color w:val="000000" w:themeColor="text1"/>
          <w:sz w:val="24"/>
          <w:highlight w:val="none"/>
          <w:u w:val="single"/>
          <w:lang w:val="zh-CN"/>
          <w14:textFill>
            <w14:solidFill>
              <w14:schemeClr w14:val="tx1"/>
            </w14:solidFill>
          </w14:textFill>
        </w:rPr>
        <w:t>）</w:t>
      </w:r>
      <w:r>
        <w:rPr>
          <w:rFonts w:hint="eastAsia"/>
          <w:bCs/>
          <w:color w:val="000000" w:themeColor="text1"/>
          <w:sz w:val="24"/>
          <w:highlight w:val="none"/>
          <w:lang w:val="zh-CN"/>
          <w14:textFill>
            <w14:solidFill>
              <w14:schemeClr w14:val="tx1"/>
            </w14:solidFill>
          </w14:textFill>
        </w:rPr>
        <w:t>种方式确定成交供应商</w:t>
      </w:r>
    </w:p>
    <w:p w14:paraId="2303B773">
      <w:pPr>
        <w:spacing w:line="440" w:lineRule="exact"/>
        <w:ind w:firstLine="480"/>
        <w:outlineLvl w:val="3"/>
        <w:rPr>
          <w:bCs/>
          <w:color w:val="000000" w:themeColor="text1"/>
          <w:sz w:val="24"/>
          <w:highlight w:val="none"/>
          <w:lang w:val="zh-CN"/>
          <w14:textFill>
            <w14:solidFill>
              <w14:schemeClr w14:val="tx1"/>
            </w14:solidFill>
          </w14:textFill>
        </w:rPr>
      </w:pPr>
      <w:r>
        <w:rPr>
          <w:rFonts w:hint="eastAsia"/>
          <w:bCs/>
          <w:color w:val="000000" w:themeColor="text1"/>
          <w:sz w:val="24"/>
          <w:highlight w:val="none"/>
          <w:lang w:val="zh-CN"/>
          <w14:textFill>
            <w14:solidFill>
              <w14:schemeClr w14:val="tx1"/>
            </w14:solidFill>
          </w14:textFill>
        </w:rPr>
        <w:t>（1）磋商小组直接确定排名第一的</w:t>
      </w:r>
      <w:r>
        <w:rPr>
          <w:rFonts w:hint="eastAsia"/>
          <w:bCs/>
          <w:color w:val="000000" w:themeColor="text1"/>
          <w:sz w:val="24"/>
          <w:szCs w:val="21"/>
          <w:highlight w:val="none"/>
          <w14:textFill>
            <w14:solidFill>
              <w14:schemeClr w14:val="tx1"/>
            </w14:solidFill>
          </w14:textFill>
        </w:rPr>
        <w:t>成交候选供应商</w:t>
      </w:r>
      <w:r>
        <w:rPr>
          <w:rFonts w:hint="eastAsia"/>
          <w:bCs/>
          <w:color w:val="000000" w:themeColor="text1"/>
          <w:sz w:val="24"/>
          <w:highlight w:val="none"/>
          <w:lang w:val="zh-CN"/>
          <w14:textFill>
            <w14:solidFill>
              <w14:schemeClr w14:val="tx1"/>
            </w14:solidFill>
          </w14:textFill>
        </w:rPr>
        <w:t>为成交供应商；</w:t>
      </w:r>
    </w:p>
    <w:p w14:paraId="2E1159E0">
      <w:pPr>
        <w:spacing w:line="440" w:lineRule="exact"/>
        <w:ind w:firstLine="480"/>
        <w:rPr>
          <w:bCs/>
          <w:color w:val="000000" w:themeColor="text1"/>
          <w:sz w:val="24"/>
          <w:highlight w:val="none"/>
          <w:lang w:val="zh-CN"/>
          <w14:textFill>
            <w14:solidFill>
              <w14:schemeClr w14:val="tx1"/>
            </w14:solidFill>
          </w14:textFill>
        </w:rPr>
      </w:pPr>
      <w:r>
        <w:rPr>
          <w:rFonts w:hint="eastAsia"/>
          <w:bCs/>
          <w:color w:val="000000" w:themeColor="text1"/>
          <w:sz w:val="24"/>
          <w:highlight w:val="none"/>
          <w:lang w:val="zh-CN"/>
          <w14:textFill>
            <w14:solidFill>
              <w14:schemeClr w14:val="tx1"/>
            </w14:solidFill>
          </w14:textFill>
        </w:rPr>
        <w:t>（2）采购人</w:t>
      </w:r>
      <w:r>
        <w:rPr>
          <w:rFonts w:hint="eastAsia"/>
          <w:bCs/>
          <w:color w:val="000000" w:themeColor="text1"/>
          <w:sz w:val="24"/>
          <w:szCs w:val="21"/>
          <w:highlight w:val="none"/>
          <w14:textFill>
            <w14:solidFill>
              <w14:schemeClr w14:val="tx1"/>
            </w14:solidFill>
          </w14:textFill>
        </w:rPr>
        <w:t>从评审报告提出</w:t>
      </w:r>
      <w:r>
        <w:rPr>
          <w:rFonts w:hint="eastAsia"/>
          <w:bCs/>
          <w:color w:val="000000" w:themeColor="text1"/>
          <w:sz w:val="24"/>
          <w:highlight w:val="none"/>
          <w:lang w:val="zh-CN"/>
          <w14:textFill>
            <w14:solidFill>
              <w14:schemeClr w14:val="tx1"/>
            </w14:solidFill>
          </w14:textFill>
        </w:rPr>
        <w:t>的</w:t>
      </w:r>
      <w:r>
        <w:rPr>
          <w:rFonts w:hint="eastAsia"/>
          <w:bCs/>
          <w:color w:val="000000" w:themeColor="text1"/>
          <w:sz w:val="24"/>
          <w:szCs w:val="21"/>
          <w:highlight w:val="none"/>
          <w14:textFill>
            <w14:solidFill>
              <w14:schemeClr w14:val="tx1"/>
            </w14:solidFill>
          </w14:textFill>
        </w:rPr>
        <w:t>成交候选供应商</w:t>
      </w:r>
      <w:r>
        <w:rPr>
          <w:rFonts w:hint="eastAsia"/>
          <w:bCs/>
          <w:color w:val="000000" w:themeColor="text1"/>
          <w:sz w:val="24"/>
          <w:highlight w:val="none"/>
          <w:lang w:val="zh-CN"/>
          <w14:textFill>
            <w14:solidFill>
              <w14:schemeClr w14:val="tx1"/>
            </w14:solidFill>
          </w14:textFill>
        </w:rPr>
        <w:t>中按顺序确定成交供应商。</w:t>
      </w:r>
    </w:p>
    <w:p w14:paraId="76801927">
      <w:pPr>
        <w:tabs>
          <w:tab w:val="left" w:pos="900"/>
        </w:tabs>
        <w:spacing w:line="440" w:lineRule="exact"/>
        <w:ind w:firstLine="477"/>
        <w:rPr>
          <w:bCs/>
          <w:color w:val="000000" w:themeColor="text1"/>
          <w:sz w:val="24"/>
          <w:szCs w:val="21"/>
          <w:highlight w:val="none"/>
          <w14:textFill>
            <w14:solidFill>
              <w14:schemeClr w14:val="tx1"/>
            </w14:solidFill>
          </w14:textFill>
        </w:rPr>
      </w:pPr>
      <w:r>
        <w:rPr>
          <w:rFonts w:hint="eastAsia"/>
          <w:bCs/>
          <w:color w:val="000000" w:themeColor="text1"/>
          <w:sz w:val="24"/>
          <w:highlight w:val="none"/>
          <w:lang w:val="zh-CN"/>
          <w14:textFill>
            <w14:solidFill>
              <w14:schemeClr w14:val="tx1"/>
            </w14:solidFill>
          </w14:textFill>
        </w:rPr>
        <w:t>按第</w:t>
      </w:r>
      <w:r>
        <w:rPr>
          <w:rFonts w:hint="eastAsia"/>
          <w:bCs/>
          <w:color w:val="000000" w:themeColor="text1"/>
          <w:sz w:val="24"/>
          <w:highlight w:val="none"/>
          <w14:textFill>
            <w14:solidFill>
              <w14:schemeClr w14:val="tx1"/>
            </w14:solidFill>
          </w14:textFill>
        </w:rPr>
        <w:t>2</w:t>
      </w:r>
      <w:r>
        <w:rPr>
          <w:rFonts w:hint="eastAsia"/>
          <w:bCs/>
          <w:color w:val="000000" w:themeColor="text1"/>
          <w:sz w:val="24"/>
          <w:highlight w:val="none"/>
          <w:lang w:val="zh-CN"/>
          <w14:textFill>
            <w14:solidFill>
              <w14:schemeClr w14:val="tx1"/>
            </w14:solidFill>
          </w14:textFill>
        </w:rPr>
        <w:t>种方式确定成交供应商的，</w:t>
      </w:r>
      <w:r>
        <w:rPr>
          <w:rFonts w:hint="eastAsia"/>
          <w:bCs/>
          <w:color w:val="000000" w:themeColor="text1"/>
          <w:sz w:val="24"/>
          <w:highlight w:val="none"/>
          <w14:textFill>
            <w14:solidFill>
              <w14:schemeClr w14:val="tx1"/>
            </w14:solidFill>
          </w14:textFill>
        </w:rPr>
        <w:t>采购代理机构</w:t>
      </w:r>
      <w:r>
        <w:rPr>
          <w:rFonts w:hint="eastAsia"/>
          <w:bCs/>
          <w:color w:val="000000" w:themeColor="text1"/>
          <w:sz w:val="24"/>
          <w:highlight w:val="none"/>
          <w:lang w:val="zh-CN"/>
          <w14:textFill>
            <w14:solidFill>
              <w14:schemeClr w14:val="tx1"/>
            </w14:solidFill>
          </w14:textFill>
        </w:rPr>
        <w:t>自评审结束之日起两个工作日内将评审报告送交采购人，采购人自收到评审报告之日起五个工作日内在评审报告推荐的</w:t>
      </w:r>
      <w:r>
        <w:rPr>
          <w:rFonts w:hint="eastAsia"/>
          <w:bCs/>
          <w:color w:val="000000" w:themeColor="text1"/>
          <w:sz w:val="24"/>
          <w:szCs w:val="21"/>
          <w:highlight w:val="none"/>
          <w14:textFill>
            <w14:solidFill>
              <w14:schemeClr w14:val="tx1"/>
            </w14:solidFill>
          </w14:textFill>
        </w:rPr>
        <w:t>成交候选供应商</w:t>
      </w:r>
      <w:r>
        <w:rPr>
          <w:rFonts w:hint="eastAsia"/>
          <w:bCs/>
          <w:color w:val="000000" w:themeColor="text1"/>
          <w:sz w:val="24"/>
          <w:highlight w:val="none"/>
          <w:lang w:val="zh-CN"/>
          <w14:textFill>
            <w14:solidFill>
              <w14:schemeClr w14:val="tx1"/>
            </w14:solidFill>
          </w14:textFill>
        </w:rPr>
        <w:t>中按顺序确定成交供应商。</w:t>
      </w:r>
    </w:p>
    <w:p w14:paraId="4449A07B">
      <w:pPr>
        <w:tabs>
          <w:tab w:val="left" w:pos="900"/>
        </w:tabs>
        <w:spacing w:line="440" w:lineRule="exact"/>
        <w:ind w:firstLine="477"/>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w:t>
      </w:r>
      <w:r>
        <w:rPr>
          <w:bCs/>
          <w:color w:val="000000" w:themeColor="text1"/>
          <w:sz w:val="24"/>
          <w:szCs w:val="21"/>
          <w:highlight w:val="none"/>
          <w14:textFill>
            <w14:solidFill>
              <w14:schemeClr w14:val="tx1"/>
            </w14:solidFill>
          </w14:textFill>
        </w:rPr>
        <w:t>8.3</w:t>
      </w:r>
      <w:r>
        <w:rPr>
          <w:rFonts w:hint="eastAsia"/>
          <w:bCs/>
          <w:color w:val="000000" w:themeColor="text1"/>
          <w:sz w:val="24"/>
          <w:szCs w:val="21"/>
          <w:highlight w:val="none"/>
          <w14:textFill>
            <w14:solidFill>
              <w14:schemeClr w14:val="tx1"/>
            </w14:solidFill>
          </w14:textFill>
        </w:rPr>
        <w:t>成交供应商确定后，采购代理机构将在“宿迁市政府采购网”发布成交结果公告，公告期限为1个工作日。</w:t>
      </w:r>
    </w:p>
    <w:p w14:paraId="22FAE137">
      <w:pPr>
        <w:tabs>
          <w:tab w:val="left" w:pos="900"/>
        </w:tabs>
        <w:spacing w:line="440" w:lineRule="exact"/>
        <w:ind w:firstLine="477"/>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28.</w:t>
      </w:r>
      <w:r>
        <w:rPr>
          <w:bCs/>
          <w:color w:val="000000" w:themeColor="text1"/>
          <w:sz w:val="24"/>
          <w:szCs w:val="21"/>
          <w:highlight w:val="none"/>
          <w14:textFill>
            <w14:solidFill>
              <w14:schemeClr w14:val="tx1"/>
            </w14:solidFill>
          </w14:textFill>
        </w:rPr>
        <w:t>4</w:t>
      </w:r>
      <w:r>
        <w:rPr>
          <w:rFonts w:hint="eastAsia"/>
          <w:bCs/>
          <w:color w:val="000000" w:themeColor="text1"/>
          <w:sz w:val="24"/>
          <w:szCs w:val="21"/>
          <w:highlight w:val="none"/>
          <w14:textFill>
            <w14:solidFill>
              <w14:schemeClr w14:val="tx1"/>
            </w14:solidFill>
          </w14:textFill>
        </w:rPr>
        <w:t>若有充分证据证明，成交供应商出现下列情况之一的，一经查实，将被取消成交资格：</w:t>
      </w:r>
    </w:p>
    <w:p w14:paraId="7E4CC454">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28.</w:t>
      </w:r>
      <w:r>
        <w:rPr>
          <w:bCs/>
          <w:color w:val="000000" w:themeColor="text1"/>
          <w:sz w:val="24"/>
          <w:szCs w:val="21"/>
          <w:highlight w:val="none"/>
          <w14:textFill>
            <w14:solidFill>
              <w14:schemeClr w14:val="tx1"/>
            </w14:solidFill>
          </w14:textFill>
        </w:rPr>
        <w:t>4</w:t>
      </w:r>
      <w:r>
        <w:rPr>
          <w:rFonts w:hint="eastAsia"/>
          <w:bCs/>
          <w:color w:val="000000" w:themeColor="text1"/>
          <w:sz w:val="24"/>
          <w:szCs w:val="21"/>
          <w:highlight w:val="none"/>
          <w14:textFill>
            <w14:solidFill>
              <w14:schemeClr w14:val="tx1"/>
            </w14:solidFill>
          </w14:textFill>
        </w:rPr>
        <w:t>.1提供虚假材料谋取成交的。</w:t>
      </w:r>
    </w:p>
    <w:p w14:paraId="6B57BBBE">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28.</w:t>
      </w:r>
      <w:r>
        <w:rPr>
          <w:bCs/>
          <w:color w:val="000000" w:themeColor="text1"/>
          <w:sz w:val="24"/>
          <w:szCs w:val="21"/>
          <w:highlight w:val="none"/>
          <w14:textFill>
            <w14:solidFill>
              <w14:schemeClr w14:val="tx1"/>
            </w14:solidFill>
          </w14:textFill>
        </w:rPr>
        <w:t>4</w:t>
      </w:r>
      <w:r>
        <w:rPr>
          <w:rFonts w:hint="eastAsia"/>
          <w:bCs/>
          <w:color w:val="000000" w:themeColor="text1"/>
          <w:sz w:val="24"/>
          <w:szCs w:val="21"/>
          <w:highlight w:val="none"/>
          <w14:textFill>
            <w14:solidFill>
              <w14:schemeClr w14:val="tx1"/>
            </w14:solidFill>
          </w14:textFill>
        </w:rPr>
        <w:t>.2与评审专家、采购人、其他供应商或者</w:t>
      </w:r>
      <w:r>
        <w:rPr>
          <w:rFonts w:hint="eastAsia"/>
          <w:color w:val="000000" w:themeColor="text1"/>
          <w:sz w:val="24"/>
          <w:szCs w:val="21"/>
          <w:highlight w:val="none"/>
          <w14:textFill>
            <w14:solidFill>
              <w14:schemeClr w14:val="tx1"/>
            </w14:solidFill>
          </w14:textFill>
        </w:rPr>
        <w:t>采购代理机构</w:t>
      </w:r>
      <w:r>
        <w:rPr>
          <w:rFonts w:hint="eastAsia"/>
          <w:bCs/>
          <w:color w:val="000000" w:themeColor="text1"/>
          <w:sz w:val="24"/>
          <w:szCs w:val="21"/>
          <w:highlight w:val="none"/>
          <w14:textFill>
            <w14:solidFill>
              <w14:schemeClr w14:val="tx1"/>
            </w14:solidFill>
          </w14:textFill>
        </w:rPr>
        <w:t>工作人员恶意串通的。</w:t>
      </w:r>
    </w:p>
    <w:p w14:paraId="7061FB88">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28.</w:t>
      </w:r>
      <w:r>
        <w:rPr>
          <w:bCs/>
          <w:color w:val="000000" w:themeColor="text1"/>
          <w:sz w:val="24"/>
          <w:szCs w:val="21"/>
          <w:highlight w:val="none"/>
          <w14:textFill>
            <w14:solidFill>
              <w14:schemeClr w14:val="tx1"/>
            </w14:solidFill>
          </w14:textFill>
        </w:rPr>
        <w:t>4</w:t>
      </w:r>
      <w:r>
        <w:rPr>
          <w:rFonts w:hint="eastAsia"/>
          <w:bCs/>
          <w:color w:val="000000" w:themeColor="text1"/>
          <w:sz w:val="24"/>
          <w:szCs w:val="21"/>
          <w:highlight w:val="none"/>
          <w14:textFill>
            <w14:solidFill>
              <w14:schemeClr w14:val="tx1"/>
            </w14:solidFill>
          </w14:textFill>
        </w:rPr>
        <w:t>.3向评审专家、采购人或</w:t>
      </w:r>
      <w:r>
        <w:rPr>
          <w:rFonts w:hint="eastAsia"/>
          <w:color w:val="000000" w:themeColor="text1"/>
          <w:sz w:val="24"/>
          <w:szCs w:val="21"/>
          <w:highlight w:val="none"/>
          <w14:textFill>
            <w14:solidFill>
              <w14:schemeClr w14:val="tx1"/>
            </w14:solidFill>
          </w14:textFill>
        </w:rPr>
        <w:t>采购代理机构</w:t>
      </w:r>
      <w:r>
        <w:rPr>
          <w:rFonts w:hint="eastAsia"/>
          <w:bCs/>
          <w:color w:val="000000" w:themeColor="text1"/>
          <w:sz w:val="24"/>
          <w:szCs w:val="21"/>
          <w:highlight w:val="none"/>
          <w14:textFill>
            <w14:solidFill>
              <w14:schemeClr w14:val="tx1"/>
            </w14:solidFill>
          </w14:textFill>
        </w:rPr>
        <w:t>工作人员行贿或者提供其他不正当利益的。</w:t>
      </w:r>
    </w:p>
    <w:p w14:paraId="5C29ABDF">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28.</w:t>
      </w:r>
      <w:r>
        <w:rPr>
          <w:bCs/>
          <w:color w:val="000000" w:themeColor="text1"/>
          <w:sz w:val="24"/>
          <w:szCs w:val="21"/>
          <w:highlight w:val="none"/>
          <w14:textFill>
            <w14:solidFill>
              <w14:schemeClr w14:val="tx1"/>
            </w14:solidFill>
          </w14:textFill>
        </w:rPr>
        <w:t>4</w:t>
      </w:r>
      <w:r>
        <w:rPr>
          <w:rFonts w:hint="eastAsia"/>
          <w:bCs/>
          <w:color w:val="000000" w:themeColor="text1"/>
          <w:sz w:val="24"/>
          <w:szCs w:val="21"/>
          <w:highlight w:val="none"/>
          <w14:textFill>
            <w14:solidFill>
              <w14:schemeClr w14:val="tx1"/>
            </w14:solidFill>
          </w14:textFill>
        </w:rPr>
        <w:t>.4恶意竞争，最后报价明显低于其自身合理成本且又无法提供证明的。</w:t>
      </w:r>
    </w:p>
    <w:p w14:paraId="273DE183">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28.</w:t>
      </w:r>
      <w:r>
        <w:rPr>
          <w:bCs/>
          <w:color w:val="000000" w:themeColor="text1"/>
          <w:sz w:val="24"/>
          <w:szCs w:val="21"/>
          <w:highlight w:val="none"/>
          <w14:textFill>
            <w14:solidFill>
              <w14:schemeClr w14:val="tx1"/>
            </w14:solidFill>
          </w14:textFill>
        </w:rPr>
        <w:t>4</w:t>
      </w:r>
      <w:r>
        <w:rPr>
          <w:rFonts w:hint="eastAsia"/>
          <w:bCs/>
          <w:color w:val="000000" w:themeColor="text1"/>
          <w:sz w:val="24"/>
          <w:szCs w:val="21"/>
          <w:highlight w:val="none"/>
          <w14:textFill>
            <w14:solidFill>
              <w14:schemeClr w14:val="tx1"/>
            </w14:solidFill>
          </w14:textFill>
        </w:rPr>
        <w:t>.5不满足本磋商文件规定的实质性要求，但在评审过程中又未被磋商小组发现的。</w:t>
      </w:r>
    </w:p>
    <w:p w14:paraId="2E52E581">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28.</w:t>
      </w:r>
      <w:r>
        <w:rPr>
          <w:bCs/>
          <w:color w:val="000000" w:themeColor="text1"/>
          <w:sz w:val="24"/>
          <w:szCs w:val="21"/>
          <w:highlight w:val="none"/>
          <w14:textFill>
            <w14:solidFill>
              <w14:schemeClr w14:val="tx1"/>
            </w14:solidFill>
          </w14:textFill>
        </w:rPr>
        <w:t>4</w:t>
      </w:r>
      <w:r>
        <w:rPr>
          <w:rFonts w:hint="eastAsia"/>
          <w:bCs/>
          <w:color w:val="000000" w:themeColor="text1"/>
          <w:sz w:val="24"/>
          <w:szCs w:val="21"/>
          <w:highlight w:val="none"/>
          <w14:textFill>
            <w14:solidFill>
              <w14:schemeClr w14:val="tx1"/>
            </w14:solidFill>
          </w14:textFill>
        </w:rPr>
        <w:t>.6成交后无正当理由拒不与采购人签订政府采购合同或者未按照磋商文件确定的事项签订政府采购合同的。</w:t>
      </w:r>
    </w:p>
    <w:p w14:paraId="43BF6357">
      <w:pPr>
        <w:spacing w:line="440" w:lineRule="exact"/>
        <w:ind w:firstLine="480"/>
        <w:rPr>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28.</w:t>
      </w:r>
      <w:r>
        <w:rPr>
          <w:bCs/>
          <w:color w:val="000000" w:themeColor="text1"/>
          <w:sz w:val="24"/>
          <w:szCs w:val="21"/>
          <w:highlight w:val="none"/>
          <w14:textFill>
            <w14:solidFill>
              <w14:schemeClr w14:val="tx1"/>
            </w14:solidFill>
          </w14:textFill>
        </w:rPr>
        <w:t>4</w:t>
      </w:r>
      <w:r>
        <w:rPr>
          <w:rFonts w:hint="eastAsia"/>
          <w:bCs/>
          <w:color w:val="000000" w:themeColor="text1"/>
          <w:sz w:val="24"/>
          <w:szCs w:val="21"/>
          <w:highlight w:val="none"/>
          <w14:textFill>
            <w14:solidFill>
              <w14:schemeClr w14:val="tx1"/>
            </w14:solidFill>
          </w14:textFill>
        </w:rPr>
        <w:t>.7将政府采购合同转包的。</w:t>
      </w:r>
    </w:p>
    <w:p w14:paraId="4C1E0117">
      <w:pPr>
        <w:keepNext/>
        <w:keepLines/>
        <w:spacing w:line="440" w:lineRule="exact"/>
        <w:ind w:firstLine="600"/>
        <w:outlineLvl w:val="2"/>
        <w:rPr>
          <w:rFonts w:eastAsia="黑体"/>
          <w:bCs/>
          <w:color w:val="000000" w:themeColor="text1"/>
          <w:sz w:val="30"/>
          <w:szCs w:val="30"/>
          <w:highlight w:val="none"/>
          <w14:textFill>
            <w14:solidFill>
              <w14:schemeClr w14:val="tx1"/>
            </w14:solidFill>
          </w14:textFill>
        </w:rPr>
      </w:pPr>
      <w:bookmarkStart w:id="181" w:name="_Toc200451960"/>
      <w:r>
        <w:rPr>
          <w:rFonts w:eastAsia="黑体"/>
          <w:bCs/>
          <w:color w:val="000000" w:themeColor="text1"/>
          <w:sz w:val="30"/>
          <w:szCs w:val="30"/>
          <w:highlight w:val="none"/>
          <w14:textFill>
            <w14:solidFill>
              <w14:schemeClr w14:val="tx1"/>
            </w14:solidFill>
          </w14:textFill>
        </w:rPr>
        <w:t>29</w:t>
      </w:r>
      <w:r>
        <w:rPr>
          <w:rFonts w:hint="eastAsia" w:eastAsia="黑体"/>
          <w:bCs/>
          <w:color w:val="000000" w:themeColor="text1"/>
          <w:sz w:val="30"/>
          <w:szCs w:val="30"/>
          <w:highlight w:val="none"/>
          <w14:textFill>
            <w14:solidFill>
              <w14:schemeClr w14:val="tx1"/>
            </w14:solidFill>
          </w14:textFill>
        </w:rPr>
        <w:t>、质疑处理</w:t>
      </w:r>
      <w:bookmarkEnd w:id="181"/>
    </w:p>
    <w:p w14:paraId="66522724">
      <w:pPr>
        <w:spacing w:line="44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29</w:t>
      </w:r>
      <w:r>
        <w:rPr>
          <w:rFonts w:hint="eastAsia"/>
          <w:color w:val="000000" w:themeColor="text1"/>
          <w:sz w:val="24"/>
          <w:szCs w:val="24"/>
          <w:highlight w:val="none"/>
          <w14:textFill>
            <w14:solidFill>
              <w14:schemeClr w14:val="tx1"/>
            </w14:solidFill>
          </w14:textFill>
        </w:rPr>
        <w:t>.1 提出质疑的供应商应当是参与所质疑项目采购活动的供应商。潜在供应商依法获取其可质疑的采购文件的，可以对采购文件提出质疑。</w:t>
      </w:r>
    </w:p>
    <w:p w14:paraId="4D27CDEB">
      <w:pPr>
        <w:spacing w:line="44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29</w:t>
      </w:r>
      <w:r>
        <w:rPr>
          <w:rFonts w:hint="eastAsia"/>
          <w:color w:val="000000" w:themeColor="text1"/>
          <w:sz w:val="24"/>
          <w:szCs w:val="24"/>
          <w:highlight w:val="none"/>
          <w14:textFill>
            <w14:solidFill>
              <w14:schemeClr w14:val="tx1"/>
            </w14:solidFill>
          </w14:textFill>
        </w:rPr>
        <w:t>.2供应商认为采购文件、采购过程和采购结果使自己的权益受到损害的，可以在知道或应知其权益受到损害之日起七个工作日内，以书面形式根据下述29.4条款的规定向采购代理机构或采购人提出质疑。上述应知其权益受到损害之日，是指：</w:t>
      </w:r>
    </w:p>
    <w:p w14:paraId="41915AFB">
      <w:pPr>
        <w:spacing w:line="440" w:lineRule="exact"/>
        <w:ind w:firstLine="480"/>
        <w:rPr>
          <w:rFonts w:cs="宋体"/>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29</w:t>
      </w:r>
      <w:r>
        <w:rPr>
          <w:rFonts w:hint="eastAsia"/>
          <w:color w:val="000000" w:themeColor="text1"/>
          <w:sz w:val="24"/>
          <w:szCs w:val="24"/>
          <w:highlight w:val="none"/>
          <w14:textFill>
            <w14:solidFill>
              <w14:schemeClr w14:val="tx1"/>
            </w14:solidFill>
          </w14:textFill>
        </w:rPr>
        <w:t>.2.1</w:t>
      </w:r>
      <w:r>
        <w:rPr>
          <w:rFonts w:cs="宋体"/>
          <w:color w:val="000000" w:themeColor="text1"/>
          <w:sz w:val="24"/>
          <w:szCs w:val="24"/>
          <w:highlight w:val="none"/>
          <w14:textFill>
            <w14:solidFill>
              <w14:schemeClr w14:val="tx1"/>
            </w14:solidFill>
          </w14:textFill>
        </w:rPr>
        <w:t>对可以质疑的采购文件提出质疑的，为收到采购文件之日或者采购文件公告期限届满之日</w:t>
      </w:r>
      <w:r>
        <w:rPr>
          <w:rFonts w:hint="eastAsia" w:cs="宋体"/>
          <w:color w:val="000000" w:themeColor="text1"/>
          <w:sz w:val="24"/>
          <w:szCs w:val="24"/>
          <w:highlight w:val="none"/>
          <w14:textFill>
            <w14:solidFill>
              <w14:schemeClr w14:val="tx1"/>
            </w14:solidFill>
          </w14:textFill>
        </w:rPr>
        <w:t>。</w:t>
      </w:r>
    </w:p>
    <w:p w14:paraId="24B0613F">
      <w:pPr>
        <w:spacing w:line="440" w:lineRule="exact"/>
        <w:ind w:firstLine="480"/>
        <w:rPr>
          <w:rFonts w:cs="宋体"/>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29</w:t>
      </w:r>
      <w:r>
        <w:rPr>
          <w:rFonts w:hint="eastAsia"/>
          <w:color w:val="000000" w:themeColor="text1"/>
          <w:sz w:val="24"/>
          <w:szCs w:val="24"/>
          <w:highlight w:val="none"/>
          <w14:textFill>
            <w14:solidFill>
              <w14:schemeClr w14:val="tx1"/>
            </w14:solidFill>
          </w14:textFill>
        </w:rPr>
        <w:t>.2.2</w:t>
      </w:r>
      <w:r>
        <w:rPr>
          <w:rFonts w:cs="宋体"/>
          <w:color w:val="000000" w:themeColor="text1"/>
          <w:sz w:val="24"/>
          <w:szCs w:val="24"/>
          <w:highlight w:val="none"/>
          <w14:textFill>
            <w14:solidFill>
              <w14:schemeClr w14:val="tx1"/>
            </w14:solidFill>
          </w14:textFill>
        </w:rPr>
        <w:t>对采购过程提出质疑的，为各采购程序环节结束之日</w:t>
      </w:r>
      <w:r>
        <w:rPr>
          <w:rFonts w:hint="eastAsia" w:cs="宋体"/>
          <w:color w:val="000000" w:themeColor="text1"/>
          <w:sz w:val="24"/>
          <w:szCs w:val="24"/>
          <w:highlight w:val="none"/>
          <w14:textFill>
            <w14:solidFill>
              <w14:schemeClr w14:val="tx1"/>
            </w14:solidFill>
          </w14:textFill>
        </w:rPr>
        <w:t>。</w:t>
      </w:r>
    </w:p>
    <w:p w14:paraId="2E7543B5">
      <w:pPr>
        <w:spacing w:line="440" w:lineRule="exact"/>
        <w:ind w:firstLine="480"/>
        <w:rPr>
          <w:rFonts w:cs="宋体"/>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29</w:t>
      </w:r>
      <w:r>
        <w:rPr>
          <w:rFonts w:hint="eastAsia"/>
          <w:color w:val="000000" w:themeColor="text1"/>
          <w:sz w:val="24"/>
          <w:szCs w:val="24"/>
          <w:highlight w:val="none"/>
          <w14:textFill>
            <w14:solidFill>
              <w14:schemeClr w14:val="tx1"/>
            </w14:solidFill>
          </w14:textFill>
        </w:rPr>
        <w:t>.2.3</w:t>
      </w:r>
      <w:r>
        <w:rPr>
          <w:rFonts w:cs="宋体"/>
          <w:color w:val="000000" w:themeColor="text1"/>
          <w:sz w:val="24"/>
          <w:szCs w:val="24"/>
          <w:highlight w:val="none"/>
          <w14:textFill>
            <w14:solidFill>
              <w14:schemeClr w14:val="tx1"/>
            </w14:solidFill>
          </w14:textFill>
        </w:rPr>
        <w:t>对成交结果提出质疑的，为成交结果公告期限届满之日。</w:t>
      </w:r>
    </w:p>
    <w:p w14:paraId="03BA7F93">
      <w:pPr>
        <w:spacing w:line="440" w:lineRule="exact"/>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供应商应当在法定质疑期内一次性提出针对同一采购程序环节的质疑。供应商如在法定期限内对同一采购程序环节提出多次质疑的，</w:t>
      </w:r>
      <w:r>
        <w:rPr>
          <w:rFonts w:hint="eastAsia"/>
          <w:color w:val="000000" w:themeColor="text1"/>
          <w:sz w:val="24"/>
          <w:szCs w:val="21"/>
          <w:highlight w:val="none"/>
          <w14:textFill>
            <w14:solidFill>
              <w14:schemeClr w14:val="tx1"/>
            </w14:solidFill>
          </w14:textFill>
        </w:rPr>
        <w:t>采购代理机构</w:t>
      </w:r>
      <w:r>
        <w:rPr>
          <w:rFonts w:hint="eastAsia" w:cs="宋体"/>
          <w:color w:val="000000" w:themeColor="text1"/>
          <w:sz w:val="24"/>
          <w:szCs w:val="24"/>
          <w:highlight w:val="none"/>
          <w14:textFill>
            <w14:solidFill>
              <w14:schemeClr w14:val="tx1"/>
            </w14:solidFill>
          </w14:textFill>
        </w:rPr>
        <w:t>、</w:t>
      </w:r>
      <w:r>
        <w:rPr>
          <w:rFonts w:cs="宋体"/>
          <w:color w:val="000000" w:themeColor="text1"/>
          <w:sz w:val="24"/>
          <w:szCs w:val="24"/>
          <w:highlight w:val="none"/>
          <w14:textFill>
            <w14:solidFill>
              <w14:schemeClr w14:val="tx1"/>
            </w14:solidFill>
          </w14:textFill>
        </w:rPr>
        <w:t>采购人</w:t>
      </w:r>
      <w:r>
        <w:rPr>
          <w:rFonts w:hint="eastAsia" w:cs="宋体"/>
          <w:color w:val="000000" w:themeColor="text1"/>
          <w:sz w:val="24"/>
          <w:szCs w:val="24"/>
          <w:highlight w:val="none"/>
          <w14:textFill>
            <w14:solidFill>
              <w14:schemeClr w14:val="tx1"/>
            </w14:solidFill>
          </w14:textFill>
        </w:rPr>
        <w:t>将只对供应商第一次质疑作出答复。</w:t>
      </w:r>
    </w:p>
    <w:p w14:paraId="47F95682">
      <w:pPr>
        <w:spacing w:line="44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29</w:t>
      </w:r>
      <w:r>
        <w:rPr>
          <w:rFonts w:hint="eastAsia"/>
          <w:color w:val="000000" w:themeColor="text1"/>
          <w:sz w:val="24"/>
          <w:szCs w:val="24"/>
          <w:highlight w:val="none"/>
          <w14:textFill>
            <w14:solidFill>
              <w14:schemeClr w14:val="tx1"/>
            </w14:solidFill>
          </w14:textFill>
        </w:rPr>
        <w:t>.3质疑函必须按照本磋商文件中《质疑函范本》要求的格式和内容进行填写。供应商如组成联合体参加磋商，则《质疑函范本》中要求签字、盖章、加盖公章之处，联合体各方均须按要求签字、盖章、加盖公章。</w:t>
      </w:r>
    </w:p>
    <w:p w14:paraId="447A73EF">
      <w:pPr>
        <w:spacing w:line="44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29</w:t>
      </w:r>
      <w:r>
        <w:rPr>
          <w:rFonts w:hint="eastAsia"/>
          <w:color w:val="000000" w:themeColor="text1"/>
          <w:sz w:val="24"/>
          <w:szCs w:val="24"/>
          <w:highlight w:val="none"/>
          <w14:textFill>
            <w14:solidFill>
              <w14:schemeClr w14:val="tx1"/>
            </w14:solidFill>
          </w14:textFill>
        </w:rPr>
        <w:t>.4 供应商应以书面形式向采购人或者其委托的采购代理机构提出质疑。质疑超出采购机构代理范围的，供应商应当向采购人提出。</w:t>
      </w:r>
    </w:p>
    <w:p w14:paraId="272D6639">
      <w:pPr>
        <w:spacing w:line="440" w:lineRule="exact"/>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接收质疑函的方式：现场接收或邮寄接收。</w:t>
      </w:r>
    </w:p>
    <w:p w14:paraId="687B4FE4">
      <w:pPr>
        <w:spacing w:line="440" w:lineRule="exact"/>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联系部门： 宿迁市公路事业发展中心/江苏天业工程咨询房地产估价有限责任公司 </w:t>
      </w:r>
    </w:p>
    <w:p w14:paraId="1000A0A2">
      <w:pPr>
        <w:spacing w:line="440" w:lineRule="exact"/>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联系电话：0527-84355182/17366401570、0527-88888679</w:t>
      </w:r>
    </w:p>
    <w:p w14:paraId="4AA9A5DD">
      <w:pPr>
        <w:spacing w:line="440" w:lineRule="exact"/>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通讯地址：宿迁市洪泽湖路金桥商务大厦/宿迁市宿城区千百美商务广场1号楼11楼</w:t>
      </w:r>
    </w:p>
    <w:p w14:paraId="5F526157">
      <w:pPr>
        <w:spacing w:line="440" w:lineRule="exact"/>
        <w:ind w:firstLine="480"/>
        <w:outlineLvl w:val="3"/>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29</w:t>
      </w:r>
      <w:r>
        <w:rPr>
          <w:rFonts w:hint="eastAsia"/>
          <w:color w:val="000000" w:themeColor="text1"/>
          <w:sz w:val="24"/>
          <w:szCs w:val="24"/>
          <w:highlight w:val="none"/>
          <w14:textFill>
            <w14:solidFill>
              <w14:schemeClr w14:val="tx1"/>
            </w14:solidFill>
          </w14:textFill>
        </w:rPr>
        <w:t>.5 以下情形的质疑不予受理</w:t>
      </w:r>
    </w:p>
    <w:p w14:paraId="5EC5CF4A">
      <w:pPr>
        <w:spacing w:line="44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29</w:t>
      </w:r>
      <w:r>
        <w:rPr>
          <w:rFonts w:hint="eastAsia"/>
          <w:color w:val="000000" w:themeColor="text1"/>
          <w:sz w:val="24"/>
          <w:szCs w:val="24"/>
          <w:highlight w:val="none"/>
          <w14:textFill>
            <w14:solidFill>
              <w14:schemeClr w14:val="tx1"/>
            </w14:solidFill>
          </w14:textFill>
        </w:rPr>
        <w:t>.5.1 内容不符合《政府采购质疑和投诉办法》第十二条规定的质疑。</w:t>
      </w:r>
    </w:p>
    <w:p w14:paraId="361D3AA7">
      <w:pPr>
        <w:spacing w:line="44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29</w:t>
      </w:r>
      <w:r>
        <w:rPr>
          <w:rFonts w:hint="eastAsia"/>
          <w:color w:val="000000" w:themeColor="text1"/>
          <w:sz w:val="24"/>
          <w:szCs w:val="24"/>
          <w:highlight w:val="none"/>
          <w14:textFill>
            <w14:solidFill>
              <w14:schemeClr w14:val="tx1"/>
            </w14:solidFill>
          </w14:textFill>
        </w:rPr>
        <w:t>.5.2 超出政府采购法定期限的质疑。</w:t>
      </w:r>
    </w:p>
    <w:p w14:paraId="4EF42C8A">
      <w:pPr>
        <w:spacing w:line="44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29</w:t>
      </w:r>
      <w:r>
        <w:rPr>
          <w:rFonts w:hint="eastAsia"/>
          <w:color w:val="000000" w:themeColor="text1"/>
          <w:sz w:val="24"/>
          <w:szCs w:val="24"/>
          <w:highlight w:val="none"/>
          <w14:textFill>
            <w14:solidFill>
              <w14:schemeClr w14:val="tx1"/>
            </w14:solidFill>
          </w14:textFill>
        </w:rPr>
        <w:t>.5.3 以传真、电子邮件等方式递交的非原件形式的质疑。</w:t>
      </w:r>
    </w:p>
    <w:p w14:paraId="489EA2FF">
      <w:pPr>
        <w:spacing w:line="44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29</w:t>
      </w:r>
      <w:r>
        <w:rPr>
          <w:rFonts w:hint="eastAsia"/>
          <w:color w:val="000000" w:themeColor="text1"/>
          <w:sz w:val="24"/>
          <w:szCs w:val="24"/>
          <w:highlight w:val="none"/>
          <w14:textFill>
            <w14:solidFill>
              <w14:schemeClr w14:val="tx1"/>
            </w14:solidFill>
          </w14:textFill>
        </w:rPr>
        <w:t>.5.4 未参加磋商活动的供应商或在磋商活动中自身权益未受到损害的供应商所提出的质疑。</w:t>
      </w:r>
    </w:p>
    <w:p w14:paraId="2D05C401">
      <w:pPr>
        <w:spacing w:line="44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29</w:t>
      </w:r>
      <w:r>
        <w:rPr>
          <w:rFonts w:hint="eastAsia"/>
          <w:color w:val="000000" w:themeColor="text1"/>
          <w:sz w:val="24"/>
          <w:szCs w:val="24"/>
          <w:highlight w:val="none"/>
          <w14:textFill>
            <w14:solidFill>
              <w14:schemeClr w14:val="tx1"/>
            </w14:solidFill>
          </w14:textFill>
        </w:rPr>
        <w:t>.5.5供应商组成联合体参加磋商，联合体中任何一方或多方未按要求签字、盖章、加盖公章的质疑。</w:t>
      </w:r>
    </w:p>
    <w:p w14:paraId="23B0B3DE">
      <w:pPr>
        <w:spacing w:line="440" w:lineRule="exact"/>
        <w:ind w:firstLine="46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29</w:t>
      </w:r>
      <w:r>
        <w:rPr>
          <w:rFonts w:hint="eastAsia"/>
          <w:color w:val="000000" w:themeColor="text1"/>
          <w:sz w:val="24"/>
          <w:szCs w:val="24"/>
          <w:highlight w:val="none"/>
          <w14:textFill>
            <w14:solidFill>
              <w14:schemeClr w14:val="tx1"/>
            </w14:solidFill>
          </w14:textFill>
        </w:rPr>
        <w:t>.6 供应商提出书面质疑必须有理、有据，不得捏造事实、提供虚假材料进行恶意质疑。否则，一经查实，</w:t>
      </w:r>
      <w:r>
        <w:rPr>
          <w:rFonts w:hint="eastAsia"/>
          <w:color w:val="000000" w:themeColor="text1"/>
          <w:sz w:val="24"/>
          <w:szCs w:val="21"/>
          <w:highlight w:val="none"/>
          <w14:textFill>
            <w14:solidFill>
              <w14:schemeClr w14:val="tx1"/>
            </w14:solidFill>
          </w14:textFill>
        </w:rPr>
        <w:t>采购代理机构</w:t>
      </w:r>
      <w:r>
        <w:rPr>
          <w:rFonts w:hint="eastAsia"/>
          <w:color w:val="000000" w:themeColor="text1"/>
          <w:sz w:val="24"/>
          <w:szCs w:val="24"/>
          <w:highlight w:val="none"/>
          <w14:textFill>
            <w14:solidFill>
              <w14:schemeClr w14:val="tx1"/>
            </w14:solidFill>
          </w14:textFill>
        </w:rPr>
        <w:t>有权依据政府采购的有关规定，报请政府采购监管部门对该供应商进行相应的行政处罚和记录该供应商的失信信息。</w:t>
      </w:r>
    </w:p>
    <w:p w14:paraId="72CAFD2F">
      <w:pPr>
        <w:spacing w:line="440" w:lineRule="exact"/>
        <w:ind w:firstLine="46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29.7</w:t>
      </w:r>
      <w:r>
        <w:rPr>
          <w:rFonts w:hint="eastAsia"/>
          <w:color w:val="000000" w:themeColor="text1"/>
          <w:sz w:val="24"/>
          <w:szCs w:val="24"/>
          <w:highlight w:val="none"/>
          <w14:textFill>
            <w14:solidFill>
              <w14:schemeClr w14:val="tx1"/>
            </w14:solidFill>
          </w14:textFill>
        </w:rPr>
        <w:t>质疑供应商对采购人、采购代理机构的答复不满意，或者采购人、采购代理机构未在规定时间内作出答复的，可以在答复期满后15个工作日内向同级财政部门提起投诉。</w:t>
      </w:r>
    </w:p>
    <w:p w14:paraId="444C7B77">
      <w:pPr>
        <w:keepNext/>
        <w:keepLines/>
        <w:spacing w:line="440" w:lineRule="exact"/>
        <w:ind w:firstLine="600"/>
        <w:outlineLvl w:val="2"/>
        <w:rPr>
          <w:rFonts w:eastAsia="黑体"/>
          <w:bCs/>
          <w:color w:val="000000" w:themeColor="text1"/>
          <w:sz w:val="30"/>
          <w:szCs w:val="30"/>
          <w:highlight w:val="none"/>
          <w14:textFill>
            <w14:solidFill>
              <w14:schemeClr w14:val="tx1"/>
            </w14:solidFill>
          </w14:textFill>
        </w:rPr>
      </w:pPr>
      <w:r>
        <w:rPr>
          <w:rFonts w:hint="eastAsia" w:eastAsia="黑体"/>
          <w:bCs/>
          <w:color w:val="000000" w:themeColor="text1"/>
          <w:sz w:val="30"/>
          <w:szCs w:val="30"/>
          <w:highlight w:val="none"/>
          <w14:textFill>
            <w14:solidFill>
              <w14:schemeClr w14:val="tx1"/>
            </w14:solidFill>
          </w14:textFill>
        </w:rPr>
        <w:t>3</w:t>
      </w:r>
      <w:r>
        <w:rPr>
          <w:rFonts w:eastAsia="黑体"/>
          <w:bCs/>
          <w:color w:val="000000" w:themeColor="text1"/>
          <w:sz w:val="30"/>
          <w:szCs w:val="30"/>
          <w:highlight w:val="none"/>
          <w14:textFill>
            <w14:solidFill>
              <w14:schemeClr w14:val="tx1"/>
            </w14:solidFill>
          </w14:textFill>
        </w:rPr>
        <w:t>0</w:t>
      </w:r>
      <w:r>
        <w:rPr>
          <w:rFonts w:hint="eastAsia" w:eastAsia="黑体"/>
          <w:bCs/>
          <w:color w:val="000000" w:themeColor="text1"/>
          <w:sz w:val="30"/>
          <w:szCs w:val="30"/>
          <w:highlight w:val="none"/>
          <w14:textFill>
            <w14:solidFill>
              <w14:schemeClr w14:val="tx1"/>
            </w14:solidFill>
          </w14:textFill>
        </w:rPr>
        <w:t>、成交通知书</w:t>
      </w:r>
    </w:p>
    <w:p w14:paraId="41E43F6E">
      <w:pPr>
        <w:spacing w:line="440" w:lineRule="exact"/>
        <w:ind w:firstLine="6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r>
        <w:rPr>
          <w:rFonts w:hint="eastAsia"/>
          <w:color w:val="000000" w:themeColor="text1"/>
          <w:sz w:val="24"/>
          <w:szCs w:val="24"/>
          <w:highlight w:val="none"/>
          <w14:textFill>
            <w14:solidFill>
              <w14:schemeClr w14:val="tx1"/>
            </w14:solidFill>
          </w14:textFill>
        </w:rPr>
        <w:t>0</w:t>
      </w:r>
      <w:r>
        <w:rPr>
          <w:color w:val="000000" w:themeColor="text1"/>
          <w:sz w:val="24"/>
          <w:szCs w:val="24"/>
          <w:highlight w:val="none"/>
          <w14:textFill>
            <w14:solidFill>
              <w14:schemeClr w14:val="tx1"/>
            </w14:solidFill>
          </w14:textFill>
        </w:rPr>
        <w:t>.1</w:t>
      </w:r>
      <w:r>
        <w:rPr>
          <w:rFonts w:hint="eastAsia"/>
          <w:color w:val="000000" w:themeColor="text1"/>
          <w:sz w:val="24"/>
          <w:szCs w:val="24"/>
          <w:highlight w:val="none"/>
          <w14:textFill>
            <w14:solidFill>
              <w14:schemeClr w14:val="tx1"/>
            </w14:solidFill>
          </w14:textFill>
        </w:rPr>
        <w:t>成交结果确定后，采购代理机构将向成交供应商发出成交通知书。请成交供应商使用CA数字证书登录“苏采云系统”及时下载成交通知书。成交供应商可自行下载打印《成交通知书》，《成交通知书》将作为授予合同资格的唯一合法依据。</w:t>
      </w:r>
    </w:p>
    <w:p w14:paraId="42A70897">
      <w:pPr>
        <w:spacing w:line="440" w:lineRule="exact"/>
        <w:ind w:firstLine="6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r>
        <w:rPr>
          <w:color w:val="000000" w:themeColor="text1"/>
          <w:sz w:val="24"/>
          <w:szCs w:val="24"/>
          <w:highlight w:val="none"/>
          <w14:textFill>
            <w14:solidFill>
              <w14:schemeClr w14:val="tx1"/>
            </w14:solidFill>
          </w14:textFill>
        </w:rPr>
        <w:t>0</w:t>
      </w:r>
      <w:r>
        <w:rPr>
          <w:rFonts w:hint="eastAsia"/>
          <w:color w:val="000000" w:themeColor="text1"/>
          <w:sz w:val="24"/>
          <w:szCs w:val="24"/>
          <w:highlight w:val="none"/>
          <w14:textFill>
            <w14:solidFill>
              <w14:schemeClr w14:val="tx1"/>
            </w14:solidFill>
          </w14:textFill>
        </w:rPr>
        <w:t>.2成交通知书将是合同的一个组成部分。对采购人和成交供应商均具有法律效力。成交通知书发出后，采购人改变成交结果的，或者成交供应商放弃成交项目的，应当依法承担法律责任。</w:t>
      </w:r>
    </w:p>
    <w:p w14:paraId="4E35A467">
      <w:pPr>
        <w:keepNext/>
        <w:keepLines/>
        <w:spacing w:line="440" w:lineRule="exact"/>
        <w:outlineLvl w:val="1"/>
        <w:rPr>
          <w:b/>
          <w:bCs/>
          <w:color w:val="000000" w:themeColor="text1"/>
          <w:sz w:val="32"/>
          <w:szCs w:val="32"/>
          <w:highlight w:val="none"/>
          <w14:textFill>
            <w14:solidFill>
              <w14:schemeClr w14:val="tx1"/>
            </w14:solidFill>
          </w14:textFill>
        </w:rPr>
      </w:pPr>
      <w:bookmarkStart w:id="182" w:name="_Toc120614220"/>
      <w:bookmarkStart w:id="183" w:name="_Toc16938552"/>
      <w:bookmarkStart w:id="184" w:name="_Toc20823308"/>
      <w:bookmarkStart w:id="185" w:name="_Toc513029236"/>
      <w:r>
        <w:rPr>
          <w:rFonts w:hint="eastAsia"/>
          <w:b/>
          <w:bCs/>
          <w:color w:val="000000" w:themeColor="text1"/>
          <w:sz w:val="32"/>
          <w:szCs w:val="32"/>
          <w:highlight w:val="none"/>
          <w14:textFill>
            <w14:solidFill>
              <w14:schemeClr w14:val="tx1"/>
            </w14:solidFill>
          </w14:textFill>
        </w:rPr>
        <w:t>七、授予合同</w:t>
      </w:r>
      <w:bookmarkEnd w:id="182"/>
    </w:p>
    <w:bookmarkEnd w:id="183"/>
    <w:bookmarkEnd w:id="184"/>
    <w:bookmarkEnd w:id="185"/>
    <w:p w14:paraId="33B9057C">
      <w:pPr>
        <w:keepNext/>
        <w:keepLines/>
        <w:spacing w:line="440" w:lineRule="exact"/>
        <w:ind w:firstLine="600"/>
        <w:outlineLvl w:val="2"/>
        <w:rPr>
          <w:rFonts w:eastAsia="黑体"/>
          <w:bCs/>
          <w:color w:val="000000" w:themeColor="text1"/>
          <w:sz w:val="30"/>
          <w:szCs w:val="30"/>
          <w:highlight w:val="none"/>
          <w14:textFill>
            <w14:solidFill>
              <w14:schemeClr w14:val="tx1"/>
            </w14:solidFill>
          </w14:textFill>
        </w:rPr>
      </w:pPr>
      <w:bookmarkStart w:id="186" w:name="_Toc16938553"/>
      <w:bookmarkStart w:id="187" w:name="_Toc513029237"/>
      <w:bookmarkStart w:id="188" w:name="_Toc20823309"/>
      <w:r>
        <w:rPr>
          <w:rFonts w:hint="eastAsia" w:eastAsia="黑体"/>
          <w:bCs/>
          <w:color w:val="000000" w:themeColor="text1"/>
          <w:sz w:val="30"/>
          <w:szCs w:val="30"/>
          <w:highlight w:val="none"/>
          <w14:textFill>
            <w14:solidFill>
              <w14:schemeClr w14:val="tx1"/>
            </w14:solidFill>
          </w14:textFill>
        </w:rPr>
        <w:t>3</w:t>
      </w:r>
      <w:r>
        <w:rPr>
          <w:rFonts w:eastAsia="黑体"/>
          <w:bCs/>
          <w:color w:val="000000" w:themeColor="text1"/>
          <w:sz w:val="30"/>
          <w:szCs w:val="30"/>
          <w:highlight w:val="none"/>
          <w14:textFill>
            <w14:solidFill>
              <w14:schemeClr w14:val="tx1"/>
            </w14:solidFill>
          </w14:textFill>
        </w:rPr>
        <w:t>1</w:t>
      </w:r>
      <w:r>
        <w:rPr>
          <w:rFonts w:hint="eastAsia" w:eastAsia="黑体"/>
          <w:bCs/>
          <w:color w:val="000000" w:themeColor="text1"/>
          <w:sz w:val="30"/>
          <w:szCs w:val="30"/>
          <w:highlight w:val="none"/>
          <w14:textFill>
            <w14:solidFill>
              <w14:schemeClr w14:val="tx1"/>
            </w14:solidFill>
          </w14:textFill>
        </w:rPr>
        <w:t>. 签订合同</w:t>
      </w:r>
    </w:p>
    <w:p w14:paraId="2AE8B2E0">
      <w:pPr>
        <w:spacing w:line="440" w:lineRule="exact"/>
        <w:ind w:firstLine="600"/>
        <w:rPr>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3</w:t>
      </w:r>
      <w:r>
        <w:rPr>
          <w:bCs/>
          <w:color w:val="000000" w:themeColor="text1"/>
          <w:sz w:val="24"/>
          <w:szCs w:val="24"/>
          <w:highlight w:val="none"/>
          <w14:textFill>
            <w14:solidFill>
              <w14:schemeClr w14:val="tx1"/>
            </w14:solidFill>
          </w14:textFill>
        </w:rPr>
        <w:t>1</w:t>
      </w:r>
      <w:r>
        <w:rPr>
          <w:rFonts w:hint="eastAsia"/>
          <w:color w:val="000000" w:themeColor="text1"/>
          <w:sz w:val="24"/>
          <w:szCs w:val="24"/>
          <w:highlight w:val="none"/>
          <w14:textFill>
            <w14:solidFill>
              <w14:schemeClr w14:val="tx1"/>
            </w14:solidFill>
          </w14:textFill>
        </w:rPr>
        <w:t>.l成交供应商应当在成交通知书发出之日起1</w:t>
      </w:r>
      <w:r>
        <w:rPr>
          <w:color w:val="000000" w:themeColor="text1"/>
          <w:sz w:val="24"/>
          <w:szCs w:val="24"/>
          <w:highlight w:val="none"/>
          <w14:textFill>
            <w14:solidFill>
              <w14:schemeClr w14:val="tx1"/>
            </w14:solidFill>
          </w14:textFill>
        </w:rPr>
        <w:t>5</w:t>
      </w:r>
      <w:r>
        <w:rPr>
          <w:rFonts w:hint="eastAsia"/>
          <w:color w:val="000000" w:themeColor="text1"/>
          <w:sz w:val="24"/>
          <w:szCs w:val="24"/>
          <w:highlight w:val="none"/>
          <w14:textFill>
            <w14:solidFill>
              <w14:schemeClr w14:val="tx1"/>
            </w14:solidFill>
          </w14:textFill>
        </w:rPr>
        <w:t>日内，按照磋商文件确定的事项与采购人签订政府采购合同。</w:t>
      </w:r>
    </w:p>
    <w:p w14:paraId="159A4019">
      <w:pPr>
        <w:spacing w:line="440" w:lineRule="exact"/>
        <w:ind w:firstLine="6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r>
        <w:rPr>
          <w:color w:val="000000" w:themeColor="text1"/>
          <w:sz w:val="24"/>
          <w:szCs w:val="24"/>
          <w:highlight w:val="none"/>
          <w14:textFill>
            <w14:solidFill>
              <w14:schemeClr w14:val="tx1"/>
            </w14:solidFill>
          </w14:textFill>
        </w:rPr>
        <w:t>1</w:t>
      </w:r>
      <w:r>
        <w:rPr>
          <w:rFonts w:hint="eastAsia"/>
          <w:color w:val="000000" w:themeColor="text1"/>
          <w:sz w:val="24"/>
          <w:szCs w:val="24"/>
          <w:highlight w:val="none"/>
          <w14:textFill>
            <w14:solidFill>
              <w14:schemeClr w14:val="tx1"/>
            </w14:solidFill>
          </w14:textFill>
        </w:rPr>
        <w:t>.2磋商文件、成交供应商的响应文件及磋商过程中有关澄清、承诺文件均应作为合同附件。</w:t>
      </w:r>
    </w:p>
    <w:p w14:paraId="0D796AE6">
      <w:pPr>
        <w:spacing w:line="440" w:lineRule="exact"/>
        <w:ind w:firstLine="6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r>
        <w:rPr>
          <w:color w:val="000000" w:themeColor="text1"/>
          <w:sz w:val="24"/>
          <w:szCs w:val="24"/>
          <w:highlight w:val="none"/>
          <w14:textFill>
            <w14:solidFill>
              <w14:schemeClr w14:val="tx1"/>
            </w14:solidFill>
          </w14:textFill>
        </w:rPr>
        <w:t>1</w:t>
      </w:r>
      <w:r>
        <w:rPr>
          <w:rFonts w:hint="eastAsia"/>
          <w:color w:val="000000" w:themeColor="text1"/>
          <w:sz w:val="24"/>
          <w:szCs w:val="24"/>
          <w:highlight w:val="none"/>
          <w14:textFill>
            <w14:solidFill>
              <w14:schemeClr w14:val="tx1"/>
            </w14:solidFill>
          </w14:textFill>
        </w:rPr>
        <w:t>.3 签订合同后，成交供应商不得将合同标的进行转包。未经采购人同意，成交供应商也不得采用分包形式履行合同，否则采购人有权终止合同。转包或分包造成采购人损失的，成交供应商应承担相应赔偿责任。</w:t>
      </w:r>
    </w:p>
    <w:p w14:paraId="6564D3F6">
      <w:pPr>
        <w:spacing w:line="440" w:lineRule="exact"/>
        <w:ind w:firstLine="6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31.4本项目的非主体、非关键性工作是否允许分包按以下第</w:t>
      </w:r>
      <w:r>
        <w:rPr>
          <w:rFonts w:hint="eastAsia"/>
          <w:color w:val="000000" w:themeColor="text1"/>
          <w:sz w:val="24"/>
          <w:szCs w:val="24"/>
          <w:highlight w:val="none"/>
          <w:u w:val="single"/>
          <w14:textFill>
            <w14:solidFill>
              <w14:schemeClr w14:val="tx1"/>
            </w14:solidFill>
          </w14:textFill>
        </w:rPr>
        <w:t>2</w:t>
      </w:r>
      <w:r>
        <w:rPr>
          <w:rFonts w:hint="eastAsia"/>
          <w:color w:val="000000" w:themeColor="text1"/>
          <w:sz w:val="24"/>
          <w:szCs w:val="24"/>
          <w:highlight w:val="none"/>
          <w14:textFill>
            <w14:solidFill>
              <w14:schemeClr w14:val="tx1"/>
            </w14:solidFill>
          </w14:textFill>
        </w:rPr>
        <w:t>种方式</w:t>
      </w:r>
      <w:r>
        <w:rPr>
          <w:rFonts w:hint="eastAsia"/>
          <w:color w:val="000000" w:themeColor="text1"/>
          <w:sz w:val="24"/>
          <w:szCs w:val="24"/>
          <w:highlight w:val="none"/>
          <w14:textFill>
            <w14:solidFill>
              <w14:schemeClr w14:val="tx1"/>
            </w14:solidFill>
          </w14:textFill>
        </w:rPr>
        <w:t>确定：</w:t>
      </w:r>
    </w:p>
    <w:p w14:paraId="7E57AA56">
      <w:pPr>
        <w:spacing w:line="440" w:lineRule="exact"/>
        <w:ind w:firstLine="72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1.允许分包，允许大中型企业向一家或者多家小微企业分包，分包具体内容、金额或比例：</w:t>
      </w:r>
      <w:r>
        <w:rPr>
          <w:rFonts w:hint="eastAsia"/>
          <w:color w:val="000000" w:themeColor="text1"/>
          <w:sz w:val="24"/>
          <w:szCs w:val="24"/>
          <w:highlight w:val="none"/>
          <w:u w:val="single"/>
          <w:lang w:val="en-US" w:eastAsia="zh-CN"/>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w:t>
      </w:r>
    </w:p>
    <w:p w14:paraId="09E8E1D0">
      <w:pPr>
        <w:spacing w:line="440" w:lineRule="exact"/>
        <w:ind w:firstLine="6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2.不允许分包。未经采购人同意，成交供应商也不得采用分包形式履行合同，否则采购人有权终止合同。转包或分包造成采购人损失的，成交供应商应承担相应赔偿责任。</w:t>
      </w:r>
    </w:p>
    <w:p w14:paraId="21B981FF">
      <w:pPr>
        <w:spacing w:line="440" w:lineRule="exact"/>
        <w:ind w:firstLine="480"/>
        <w:outlineLvl w:val="3"/>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31.</w:t>
      </w:r>
      <w:r>
        <w:rPr>
          <w:bCs/>
          <w:color w:val="000000" w:themeColor="text1"/>
          <w:sz w:val="24"/>
          <w:highlight w:val="none"/>
          <w14:textFill>
            <w14:solidFill>
              <w14:schemeClr w14:val="tx1"/>
            </w14:solidFill>
          </w14:textFill>
        </w:rPr>
        <w:t>5</w:t>
      </w:r>
      <w:r>
        <w:rPr>
          <w:rFonts w:hint="eastAsia"/>
          <w:bCs/>
          <w:color w:val="000000" w:themeColor="text1"/>
          <w:sz w:val="24"/>
          <w:highlight w:val="none"/>
          <w14:textFill>
            <w14:solidFill>
              <w14:schemeClr w14:val="tx1"/>
            </w14:solidFill>
          </w14:textFill>
        </w:rPr>
        <w:t>履约保证金</w:t>
      </w:r>
    </w:p>
    <w:p w14:paraId="179973EC">
      <w:pPr>
        <w:spacing w:line="440" w:lineRule="exact"/>
        <w:ind w:firstLine="480"/>
        <w:rPr>
          <w:bCs/>
          <w:color w:val="000000" w:themeColor="text1"/>
          <w:sz w:val="24"/>
          <w:highlight w:val="none"/>
          <w:lang w:val="zh-CN"/>
          <w14:textFill>
            <w14:solidFill>
              <w14:schemeClr w14:val="tx1"/>
            </w14:solidFill>
          </w14:textFill>
        </w:rPr>
      </w:pPr>
      <w:r>
        <w:rPr>
          <w:rFonts w:hint="eastAsia"/>
          <w:bCs/>
          <w:color w:val="000000" w:themeColor="text1"/>
          <w:sz w:val="24"/>
          <w:highlight w:val="none"/>
          <w:lang w:val="zh-CN"/>
          <w14:textFill>
            <w14:solidFill>
              <w14:schemeClr w14:val="tx1"/>
            </w14:solidFill>
          </w14:textFill>
        </w:rPr>
        <w:t>按照以下第</w:t>
      </w:r>
      <w:r>
        <w:rPr>
          <w:rFonts w:hint="eastAsia"/>
          <w:bCs/>
          <w:color w:val="000000" w:themeColor="text1"/>
          <w:sz w:val="24"/>
          <w:highlight w:val="none"/>
          <w:u w:val="single"/>
          <w14:textFill>
            <w14:solidFill>
              <w14:schemeClr w14:val="tx1"/>
            </w14:solidFill>
          </w14:textFill>
        </w:rPr>
        <w:t>（2）</w:t>
      </w:r>
      <w:r>
        <w:rPr>
          <w:rFonts w:hint="eastAsia"/>
          <w:bCs/>
          <w:color w:val="000000" w:themeColor="text1"/>
          <w:sz w:val="24"/>
          <w:highlight w:val="none"/>
          <w:lang w:val="zh-CN"/>
          <w14:textFill>
            <w14:solidFill>
              <w14:schemeClr w14:val="tx1"/>
            </w14:solidFill>
          </w14:textFill>
        </w:rPr>
        <w:t>方</w:t>
      </w:r>
      <w:r>
        <w:rPr>
          <w:rFonts w:hint="eastAsia"/>
          <w:bCs/>
          <w:color w:val="000000" w:themeColor="text1"/>
          <w:sz w:val="24"/>
          <w:highlight w:val="none"/>
          <w:lang w:val="zh-CN"/>
          <w14:textFill>
            <w14:solidFill>
              <w14:schemeClr w14:val="tx1"/>
            </w14:solidFill>
          </w14:textFill>
        </w:rPr>
        <w:t>式确定履约保证收取方式。</w:t>
      </w:r>
    </w:p>
    <w:p w14:paraId="5D060497">
      <w:pPr>
        <w:spacing w:line="440" w:lineRule="exact"/>
        <w:ind w:firstLine="482"/>
        <w:rPr>
          <w:bCs/>
          <w:color w:val="000000" w:themeColor="text1"/>
          <w:sz w:val="24"/>
          <w:highlight w:val="none"/>
          <w:lang w:val="zh-CN"/>
          <w14:textFill>
            <w14:solidFill>
              <w14:schemeClr w14:val="tx1"/>
            </w14:solidFill>
          </w14:textFill>
        </w:rPr>
      </w:pPr>
      <w:r>
        <w:rPr>
          <w:rFonts w:hint="eastAsia"/>
          <w:bCs/>
          <w:color w:val="000000" w:themeColor="text1"/>
          <w:sz w:val="24"/>
          <w:highlight w:val="none"/>
          <w:lang w:val="zh-CN"/>
          <w14:textFill>
            <w14:solidFill>
              <w14:schemeClr w14:val="tx1"/>
            </w14:solidFill>
          </w14:textFill>
        </w:rPr>
        <w:t>（1）不收取履约保证金。</w:t>
      </w:r>
    </w:p>
    <w:p w14:paraId="6635715C">
      <w:pPr>
        <w:spacing w:line="440" w:lineRule="exact"/>
        <w:ind w:firstLine="480"/>
        <w:rPr>
          <w:bCs/>
          <w:color w:val="000000" w:themeColor="text1"/>
          <w:sz w:val="24"/>
          <w:highlight w:val="none"/>
          <w:lang w:val="zh-CN"/>
          <w14:textFill>
            <w14:solidFill>
              <w14:schemeClr w14:val="tx1"/>
            </w14:solidFill>
          </w14:textFill>
        </w:rPr>
      </w:pPr>
      <w:r>
        <w:rPr>
          <w:rFonts w:hint="eastAsia"/>
          <w:bCs/>
          <w:color w:val="000000" w:themeColor="text1"/>
          <w:sz w:val="24"/>
          <w:highlight w:val="none"/>
          <w:lang w:val="zh-CN"/>
          <w14:textFill>
            <w14:solidFill>
              <w14:schemeClr w14:val="tx1"/>
            </w14:solidFill>
          </w14:textFill>
        </w:rPr>
        <w:t>（2）履约保证金应在采购合同签订前提交，履约保证金的金额</w:t>
      </w:r>
      <w:r>
        <w:rPr>
          <w:rFonts w:hint="eastAsia"/>
          <w:bCs/>
          <w:color w:val="000000" w:themeColor="text1"/>
          <w:sz w:val="24"/>
          <w:highlight w:val="none"/>
          <w14:textFill>
            <w14:solidFill>
              <w14:schemeClr w14:val="tx1"/>
            </w14:solidFill>
          </w14:textFill>
        </w:rPr>
        <w:t>:</w:t>
      </w:r>
      <w:r>
        <w:rPr>
          <w:rFonts w:hint="eastAsia"/>
          <w:bCs/>
          <w:color w:val="000000" w:themeColor="text1"/>
          <w:sz w:val="24"/>
          <w:highlight w:val="none"/>
          <w:u w:val="single"/>
          <w:lang w:val="zh-CN"/>
          <w14:textFill>
            <w14:solidFill>
              <w14:schemeClr w14:val="tx1"/>
            </w14:solidFill>
          </w14:textFill>
        </w:rPr>
        <w:t>按采购合同总价的</w:t>
      </w:r>
      <w:r>
        <w:rPr>
          <w:rFonts w:hint="eastAsia"/>
          <w:bCs/>
          <w:color w:val="000000" w:themeColor="text1"/>
          <w:sz w:val="24"/>
          <w:highlight w:val="none"/>
          <w:u w:val="single"/>
          <w14:textFill>
            <w14:solidFill>
              <w14:schemeClr w14:val="tx1"/>
            </w14:solidFill>
          </w14:textFill>
        </w:rPr>
        <w:t>10</w:t>
      </w:r>
      <w:r>
        <w:rPr>
          <w:rFonts w:hint="eastAsia"/>
          <w:bCs/>
          <w:color w:val="000000" w:themeColor="text1"/>
          <w:sz w:val="24"/>
          <w:highlight w:val="none"/>
          <w:u w:val="single"/>
          <w:lang w:val="zh-CN"/>
          <w14:textFill>
            <w14:solidFill>
              <w14:schemeClr w14:val="tx1"/>
            </w14:solidFill>
          </w14:textFill>
        </w:rPr>
        <w:t>%</w:t>
      </w:r>
      <w:r>
        <w:rPr>
          <w:rFonts w:hint="eastAsia"/>
          <w:bCs/>
          <w:color w:val="000000" w:themeColor="text1"/>
          <w:sz w:val="24"/>
          <w:highlight w:val="none"/>
          <w:lang w:val="zh-CN"/>
          <w14:textFill>
            <w14:solidFill>
              <w14:schemeClr w14:val="tx1"/>
            </w14:solidFill>
          </w14:textFill>
        </w:rPr>
        <w:t>计取。除银行电汇、网上银行、数字人民币外，供应商还可选用银行保函、担保公司的保证担保或保险公司的保证保险等多种形式向采购人缴纳；</w:t>
      </w:r>
      <w:r>
        <w:rPr>
          <w:rFonts w:hint="eastAsia"/>
          <w:bCs/>
          <w:color w:val="000000" w:themeColor="text1"/>
          <w:sz w:val="24"/>
          <w:highlight w:val="none"/>
          <w14:textFill>
            <w14:solidFill>
              <w14:schemeClr w14:val="tx1"/>
            </w14:solidFill>
          </w14:textFill>
        </w:rPr>
        <w:t>如使用江苏政府采购电子履约保函（保险）代替缴纳履约保证金的，</w:t>
      </w:r>
      <w:r>
        <w:rPr>
          <w:rFonts w:hint="eastAsia"/>
          <w:bCs/>
          <w:color w:val="000000" w:themeColor="text1"/>
          <w:sz w:val="24"/>
          <w:highlight w:val="none"/>
          <w:lang w:val="zh-CN"/>
          <w14:textFill>
            <w14:solidFill>
              <w14:schemeClr w14:val="tx1"/>
            </w14:solidFill>
          </w14:textFill>
        </w:rPr>
        <w:t>履约保证金的金额</w:t>
      </w:r>
      <w:r>
        <w:rPr>
          <w:rFonts w:hint="eastAsia"/>
          <w:bCs/>
          <w:color w:val="000000" w:themeColor="text1"/>
          <w:sz w:val="24"/>
          <w:highlight w:val="none"/>
          <w14:textFill>
            <w14:solidFill>
              <w14:schemeClr w14:val="tx1"/>
            </w14:solidFill>
          </w14:textFill>
        </w:rPr>
        <w:t>按采购合同总价的6%计取。</w:t>
      </w:r>
    </w:p>
    <w:p w14:paraId="03408AFE">
      <w:pPr>
        <w:spacing w:line="440" w:lineRule="exact"/>
        <w:ind w:firstLine="480"/>
        <w:rPr>
          <w:bCs/>
          <w:color w:val="000000" w:themeColor="text1"/>
          <w:sz w:val="24"/>
          <w:highlight w:val="none"/>
          <w:lang w:val="zh-CN"/>
          <w14:textFill>
            <w14:solidFill>
              <w14:schemeClr w14:val="tx1"/>
            </w14:solidFill>
          </w14:textFill>
        </w:rPr>
      </w:pPr>
      <w:r>
        <w:rPr>
          <w:rFonts w:hint="eastAsia"/>
          <w:bCs/>
          <w:color w:val="000000" w:themeColor="text1"/>
          <w:sz w:val="24"/>
          <w:highlight w:val="none"/>
          <w:lang w:val="zh-CN"/>
          <w14:textFill>
            <w14:solidFill>
              <w14:schemeClr w14:val="tx1"/>
            </w14:solidFill>
          </w14:textFill>
        </w:rPr>
        <w:t>履约保证金退还的方式：以银行电汇、网上银行、数字人民币形式缴纳履约保证金的，退回至供应商存款账户或供应商数字人民币账户；以保函、担保、保险等形式缴纳履约保证金的，在保函、担保、保险约定的保证期限届满之日起自行失效；</w:t>
      </w:r>
    </w:p>
    <w:p w14:paraId="50421A98">
      <w:pPr>
        <w:spacing w:line="440" w:lineRule="exact"/>
        <w:ind w:firstLine="480"/>
        <w:rPr>
          <w:bCs/>
          <w:color w:val="000000" w:themeColor="text1"/>
          <w:sz w:val="24"/>
          <w:highlight w:val="none"/>
          <w:lang w:val="zh-CN"/>
          <w14:textFill>
            <w14:solidFill>
              <w14:schemeClr w14:val="tx1"/>
            </w14:solidFill>
          </w14:textFill>
        </w:rPr>
      </w:pPr>
      <w:r>
        <w:rPr>
          <w:rFonts w:hint="eastAsia"/>
          <w:bCs/>
          <w:color w:val="000000" w:themeColor="text1"/>
          <w:sz w:val="24"/>
          <w:highlight w:val="none"/>
          <w:lang w:val="zh-CN"/>
          <w14:textFill>
            <w14:solidFill>
              <w14:schemeClr w14:val="tx1"/>
            </w14:solidFill>
          </w14:textFill>
        </w:rPr>
        <w:t xml:space="preserve">履约保证金退还的条件：按以下第 </w:t>
      </w:r>
      <w:r>
        <w:rPr>
          <w:rFonts w:hint="eastAsia"/>
          <w:bCs/>
          <w:color w:val="000000" w:themeColor="text1"/>
          <w:sz w:val="24"/>
          <w:highlight w:val="none"/>
          <w14:textFill>
            <w14:solidFill>
              <w14:schemeClr w14:val="tx1"/>
            </w14:solidFill>
          </w14:textFill>
        </w:rPr>
        <w:t>c</w:t>
      </w:r>
      <w:r>
        <w:rPr>
          <w:rFonts w:hint="eastAsia"/>
          <w:bCs/>
          <w:color w:val="000000" w:themeColor="text1"/>
          <w:sz w:val="24"/>
          <w:highlight w:val="none"/>
          <w:lang w:val="zh-CN"/>
          <w14:textFill>
            <w14:solidFill>
              <w14:schemeClr w14:val="tx1"/>
            </w14:solidFill>
          </w14:textFill>
        </w:rPr>
        <w:t xml:space="preserve"> 种方式实行：</w:t>
      </w:r>
    </w:p>
    <w:p w14:paraId="7253BCF8">
      <w:pPr>
        <w:spacing w:line="440" w:lineRule="exact"/>
        <w:ind w:firstLine="480"/>
        <w:rPr>
          <w:bCs/>
          <w:color w:val="000000" w:themeColor="text1"/>
          <w:sz w:val="24"/>
          <w:highlight w:val="none"/>
          <w:lang w:val="zh-CN"/>
          <w14:textFill>
            <w14:solidFill>
              <w14:schemeClr w14:val="tx1"/>
            </w14:solidFill>
          </w14:textFill>
        </w:rPr>
      </w:pPr>
      <w:r>
        <w:rPr>
          <w:rFonts w:hint="eastAsia"/>
          <w:bCs/>
          <w:color w:val="000000" w:themeColor="text1"/>
          <w:sz w:val="24"/>
          <w:highlight w:val="none"/>
          <w:lang w:val="zh-CN"/>
          <w14:textFill>
            <w14:solidFill>
              <w14:schemeClr w14:val="tx1"/>
            </w14:solidFill>
          </w14:textFill>
        </w:rPr>
        <w:t>a.货物类项目，项目验收合格，出具验收报告及履约保证金收据申请退付；</w:t>
      </w:r>
    </w:p>
    <w:p w14:paraId="76D317D9">
      <w:pPr>
        <w:spacing w:line="440" w:lineRule="exact"/>
        <w:ind w:firstLine="480"/>
        <w:rPr>
          <w:bCs/>
          <w:color w:val="000000" w:themeColor="text1"/>
          <w:sz w:val="24"/>
          <w:highlight w:val="none"/>
          <w:lang w:val="zh-CN"/>
          <w14:textFill>
            <w14:solidFill>
              <w14:schemeClr w14:val="tx1"/>
            </w14:solidFill>
          </w14:textFill>
        </w:rPr>
      </w:pPr>
      <w:r>
        <w:rPr>
          <w:rFonts w:hint="eastAsia"/>
          <w:bCs/>
          <w:color w:val="000000" w:themeColor="text1"/>
          <w:sz w:val="24"/>
          <w:highlight w:val="none"/>
          <w:lang w:val="zh-CN"/>
          <w14:textFill>
            <w14:solidFill>
              <w14:schemeClr w14:val="tx1"/>
            </w14:solidFill>
          </w14:textFill>
        </w:rPr>
        <w:t>b.服务类项目，项目履约期满评价合格，出具履约评价报告及履约保证金收据申请退付；</w:t>
      </w:r>
    </w:p>
    <w:p w14:paraId="79B3F17B">
      <w:pPr>
        <w:spacing w:line="440" w:lineRule="exact"/>
        <w:ind w:firstLine="480"/>
        <w:rPr>
          <w:bCs/>
          <w:color w:val="000000" w:themeColor="text1"/>
          <w:sz w:val="24"/>
          <w:highlight w:val="none"/>
          <w:lang w:val="zh-CN"/>
          <w14:textFill>
            <w14:solidFill>
              <w14:schemeClr w14:val="tx1"/>
            </w14:solidFill>
          </w14:textFill>
        </w:rPr>
      </w:pPr>
      <w:r>
        <w:rPr>
          <w:rFonts w:hint="eastAsia"/>
          <w:bCs/>
          <w:color w:val="000000" w:themeColor="text1"/>
          <w:sz w:val="24"/>
          <w:highlight w:val="none"/>
          <w:lang w:val="zh-CN"/>
          <w14:textFill>
            <w14:solidFill>
              <w14:schemeClr w14:val="tx1"/>
            </w14:solidFill>
          </w14:textFill>
        </w:rPr>
        <w:t>c.工程类项目，项目完工验收合格，出具完工证明及履约保证金收据申请退付；</w:t>
      </w:r>
    </w:p>
    <w:p w14:paraId="62A66F35">
      <w:pPr>
        <w:spacing w:line="440" w:lineRule="exact"/>
        <w:ind w:firstLine="480"/>
        <w:rPr>
          <w:bCs/>
          <w:color w:val="000000" w:themeColor="text1"/>
          <w:sz w:val="24"/>
          <w:highlight w:val="none"/>
          <w:lang w:val="zh-CN"/>
          <w14:textFill>
            <w14:solidFill>
              <w14:schemeClr w14:val="tx1"/>
            </w14:solidFill>
          </w14:textFill>
        </w:rPr>
      </w:pPr>
      <w:r>
        <w:rPr>
          <w:rFonts w:hint="eastAsia"/>
          <w:bCs/>
          <w:color w:val="000000" w:themeColor="text1"/>
          <w:sz w:val="24"/>
          <w:highlight w:val="none"/>
          <w:lang w:val="zh-CN"/>
          <w14:textFill>
            <w14:solidFill>
              <w14:schemeClr w14:val="tx1"/>
            </w14:solidFill>
          </w14:textFill>
        </w:rPr>
        <w:t>履约保证金退还时间：采购单位收到供应商退付申请后5个工作日内退还；</w:t>
      </w:r>
    </w:p>
    <w:p w14:paraId="727E9A7B">
      <w:pPr>
        <w:spacing w:line="440" w:lineRule="exact"/>
        <w:ind w:firstLine="480"/>
        <w:rPr>
          <w:bCs/>
          <w:color w:val="000000" w:themeColor="text1"/>
          <w:sz w:val="24"/>
          <w:highlight w:val="none"/>
          <w:lang w:val="zh-CN"/>
          <w14:textFill>
            <w14:solidFill>
              <w14:schemeClr w14:val="tx1"/>
            </w14:solidFill>
          </w14:textFill>
        </w:rPr>
      </w:pPr>
      <w:r>
        <w:rPr>
          <w:rFonts w:hint="eastAsia"/>
          <w:bCs/>
          <w:color w:val="000000" w:themeColor="text1"/>
          <w:sz w:val="24"/>
          <w:highlight w:val="none"/>
          <w:lang w:val="zh-CN"/>
          <w14:textFill>
            <w14:solidFill>
              <w14:schemeClr w14:val="tx1"/>
            </w14:solidFill>
          </w14:textFill>
        </w:rPr>
        <w:t>履约保证金不予退还情形：除不可抗力外，供应商不履行与采购人订立的采购合同的，履约保证金不予退还，给采购人造成的损失超过履约保证金数额的，还应当对超过部分予以赔偿；</w:t>
      </w:r>
    </w:p>
    <w:p w14:paraId="75F9A837">
      <w:pPr>
        <w:spacing w:line="440" w:lineRule="exact"/>
        <w:ind w:firstLine="480"/>
        <w:rPr>
          <w:bCs/>
          <w:color w:val="000000" w:themeColor="text1"/>
          <w:sz w:val="24"/>
          <w:highlight w:val="none"/>
          <w:lang w:val="zh-CN"/>
          <w14:textFill>
            <w14:solidFill>
              <w14:schemeClr w14:val="tx1"/>
            </w14:solidFill>
          </w14:textFill>
        </w:rPr>
      </w:pPr>
      <w:r>
        <w:rPr>
          <w:rFonts w:hint="eastAsia"/>
          <w:bCs/>
          <w:color w:val="000000" w:themeColor="text1"/>
          <w:sz w:val="24"/>
          <w:highlight w:val="none"/>
          <w:lang w:val="zh-CN"/>
          <w14:textFill>
            <w14:solidFill>
              <w14:schemeClr w14:val="tx1"/>
            </w14:solidFill>
          </w14:textFill>
        </w:rPr>
        <w:t>逾期退还履约保证金的违约责任：除应当退还履约保证金外，还应当按中国人民银行同期贷款基准利率上浮 20%后的利率支付超期资金占用费，但因供应商自身原因导致无法及时退还的除外。</w:t>
      </w:r>
    </w:p>
    <w:p w14:paraId="00C1963E">
      <w:pPr>
        <w:spacing w:line="440" w:lineRule="exact"/>
        <w:ind w:firstLine="600"/>
        <w:rPr>
          <w:color w:val="000000" w:themeColor="text1"/>
          <w:sz w:val="24"/>
          <w:szCs w:val="24"/>
          <w:highlight w:val="none"/>
          <w14:textFill>
            <w14:solidFill>
              <w14:schemeClr w14:val="tx1"/>
            </w14:solidFill>
          </w14:textFill>
        </w:rPr>
      </w:pPr>
      <w:r>
        <w:rPr>
          <w:bCs/>
          <w:color w:val="000000" w:themeColor="text1"/>
          <w:sz w:val="24"/>
          <w:highlight w:val="none"/>
          <w14:textFill>
            <w14:solidFill>
              <w14:schemeClr w14:val="tx1"/>
            </w14:solidFill>
          </w14:textFill>
        </w:rPr>
        <w:t>本项目支持和鼓励供应商使用江苏政府采购电子履约保函（保险）代替缴纳履约保证金。关于办理流程、偿付等内容详见江苏省政府采购网《关于在全省政府采购领域推行电子履约保函</w:t>
      </w: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保险</w:t>
      </w: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的通知》</w:t>
      </w: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苏财购﹝2023﹞150号</w:t>
      </w: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w:t>
      </w:r>
    </w:p>
    <w:p w14:paraId="59E077CE">
      <w:pPr>
        <w:keepNext/>
        <w:keepLines/>
        <w:spacing w:line="440" w:lineRule="exact"/>
        <w:ind w:firstLine="600"/>
        <w:outlineLvl w:val="2"/>
        <w:rPr>
          <w:rFonts w:eastAsia="黑体"/>
          <w:bCs/>
          <w:color w:val="000000" w:themeColor="text1"/>
          <w:sz w:val="30"/>
          <w:szCs w:val="30"/>
          <w:highlight w:val="none"/>
          <w14:textFill>
            <w14:solidFill>
              <w14:schemeClr w14:val="tx1"/>
            </w14:solidFill>
          </w14:textFill>
        </w:rPr>
      </w:pPr>
      <w:r>
        <w:rPr>
          <w:rFonts w:hint="eastAsia" w:eastAsia="黑体"/>
          <w:bCs/>
          <w:color w:val="000000" w:themeColor="text1"/>
          <w:sz w:val="30"/>
          <w:szCs w:val="30"/>
          <w:highlight w:val="none"/>
          <w14:textFill>
            <w14:solidFill>
              <w14:schemeClr w14:val="tx1"/>
            </w14:solidFill>
          </w14:textFill>
        </w:rPr>
        <w:t>3</w:t>
      </w:r>
      <w:r>
        <w:rPr>
          <w:rFonts w:eastAsia="黑体"/>
          <w:bCs/>
          <w:color w:val="000000" w:themeColor="text1"/>
          <w:sz w:val="30"/>
          <w:szCs w:val="30"/>
          <w:highlight w:val="none"/>
          <w14:textFill>
            <w14:solidFill>
              <w14:schemeClr w14:val="tx1"/>
            </w14:solidFill>
          </w14:textFill>
        </w:rPr>
        <w:t>2</w:t>
      </w:r>
      <w:r>
        <w:rPr>
          <w:rFonts w:hint="eastAsia" w:eastAsia="黑体"/>
          <w:bCs/>
          <w:color w:val="000000" w:themeColor="text1"/>
          <w:sz w:val="30"/>
          <w:szCs w:val="30"/>
          <w:highlight w:val="none"/>
          <w14:textFill>
            <w14:solidFill>
              <w14:schemeClr w14:val="tx1"/>
            </w14:solidFill>
          </w14:textFill>
        </w:rPr>
        <w:t>、标的物的追加</w:t>
      </w:r>
    </w:p>
    <w:p w14:paraId="7AC5860B">
      <w:pPr>
        <w:spacing w:line="440" w:lineRule="exact"/>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32.1政府采购合同履行中，采购人需追加与合同标的相同的工程、货物、服务（包含与货物相关的服务、工程及与服务相关的货物、工程、与工程相关的货物、服务）的，在不改变合同其他条款的前提下，可以与成交供应商协商签订补充合同，但所有补充合同的采购金额不超过原合同金额10%。</w:t>
      </w:r>
    </w:p>
    <w:bookmarkEnd w:id="186"/>
    <w:bookmarkEnd w:id="187"/>
    <w:bookmarkEnd w:id="188"/>
    <w:p w14:paraId="0B357C32">
      <w:pPr>
        <w:keepNext/>
        <w:keepLines/>
        <w:spacing w:line="440" w:lineRule="exact"/>
        <w:ind w:firstLine="600"/>
        <w:outlineLvl w:val="2"/>
        <w:rPr>
          <w:rFonts w:eastAsia="黑体"/>
          <w:bCs/>
          <w:color w:val="000000" w:themeColor="text1"/>
          <w:sz w:val="30"/>
          <w:szCs w:val="30"/>
          <w:highlight w:val="none"/>
          <w14:textFill>
            <w14:solidFill>
              <w14:schemeClr w14:val="tx1"/>
            </w14:solidFill>
          </w14:textFill>
        </w:rPr>
      </w:pPr>
      <w:bookmarkStart w:id="189" w:name="_Toc16938558"/>
      <w:bookmarkStart w:id="190" w:name="_Toc20823314"/>
      <w:bookmarkStart w:id="191" w:name="_Toc120614221"/>
      <w:bookmarkStart w:id="192" w:name="_Toc479757207"/>
      <w:bookmarkStart w:id="193" w:name="_Toc513029242"/>
      <w:r>
        <w:rPr>
          <w:rFonts w:hint="eastAsia" w:eastAsia="黑体"/>
          <w:bCs/>
          <w:color w:val="000000" w:themeColor="text1"/>
          <w:sz w:val="30"/>
          <w:szCs w:val="30"/>
          <w:highlight w:val="none"/>
          <w14:textFill>
            <w14:solidFill>
              <w14:schemeClr w14:val="tx1"/>
            </w14:solidFill>
          </w14:textFill>
        </w:rPr>
        <w:t>3</w:t>
      </w:r>
      <w:r>
        <w:rPr>
          <w:rFonts w:eastAsia="黑体"/>
          <w:bCs/>
          <w:color w:val="000000" w:themeColor="text1"/>
          <w:sz w:val="30"/>
          <w:szCs w:val="30"/>
          <w:highlight w:val="none"/>
          <w14:textFill>
            <w14:solidFill>
              <w14:schemeClr w14:val="tx1"/>
            </w14:solidFill>
          </w14:textFill>
        </w:rPr>
        <w:t>3</w:t>
      </w:r>
      <w:r>
        <w:rPr>
          <w:rFonts w:hint="eastAsia" w:eastAsia="黑体"/>
          <w:bCs/>
          <w:color w:val="000000" w:themeColor="text1"/>
          <w:sz w:val="30"/>
          <w:szCs w:val="30"/>
          <w:highlight w:val="none"/>
          <w14:textFill>
            <w14:solidFill>
              <w14:schemeClr w14:val="tx1"/>
            </w14:solidFill>
          </w14:textFill>
        </w:rPr>
        <w:t>、政府采购履约资金扶持政策</w:t>
      </w:r>
    </w:p>
    <w:p w14:paraId="79A7ED88">
      <w:pPr>
        <w:spacing w:line="440" w:lineRule="exact"/>
        <w:ind w:firstLine="420"/>
        <w:rPr>
          <w:color w:val="000000" w:themeColor="text1"/>
          <w:szCs w:val="21"/>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33.1</w:t>
      </w:r>
      <w:r>
        <w:rPr>
          <w:rFonts w:hint="eastAsia"/>
          <w:bCs/>
          <w:color w:val="000000" w:themeColor="text1"/>
          <w:sz w:val="24"/>
          <w:highlight w:val="none"/>
          <w:lang w:val="zh-CN"/>
          <w14:textFill>
            <w14:solidFill>
              <w14:schemeClr w14:val="tx1"/>
            </w14:solidFill>
          </w14:textFill>
        </w:rPr>
        <w:t>根据江苏省财政厅 中国人民银行南京分行《关于深入推进政府采购线上合同信用融资工作的通知》（苏财购〔2021〕82号），对政府采购中标供应商提出“政采贷”融资申请的，采购人应当依法按时在“苏采云”系统中录入并公开政府采购合同信息，勾选“融资贷款”选项，并在合同签订、验收付款、账号维护等环节提供必要便利，持续降低参与政府采购的中小企业融资成本。成交供应商如需获得合同信用融资支持，可凭政府采购合同办理“政采贷”融资贷款。</w:t>
      </w:r>
    </w:p>
    <w:p w14:paraId="27B0D046">
      <w:pPr>
        <w:keepNext/>
        <w:keepLines/>
        <w:spacing w:line="440" w:lineRule="exact"/>
        <w:ind w:firstLine="600"/>
        <w:outlineLvl w:val="2"/>
        <w:rPr>
          <w:rFonts w:hint="eastAsia" w:eastAsia="黑体"/>
          <w:bCs/>
          <w:color w:val="000000" w:themeColor="text1"/>
          <w:sz w:val="30"/>
          <w:szCs w:val="30"/>
          <w:highlight w:val="none"/>
          <w14:textFill>
            <w14:solidFill>
              <w14:schemeClr w14:val="tx1"/>
            </w14:solidFill>
          </w14:textFill>
        </w:rPr>
      </w:pPr>
      <w:r>
        <w:rPr>
          <w:rFonts w:hint="eastAsia" w:eastAsia="黑体"/>
          <w:bCs/>
          <w:color w:val="000000" w:themeColor="text1"/>
          <w:sz w:val="30"/>
          <w:szCs w:val="30"/>
          <w:highlight w:val="none"/>
          <w14:textFill>
            <w14:solidFill>
              <w14:schemeClr w14:val="tx1"/>
            </w14:solidFill>
          </w14:textFill>
        </w:rPr>
        <w:t>34、验收及付款</w:t>
      </w:r>
    </w:p>
    <w:p w14:paraId="2B5F5725">
      <w:pPr>
        <w:spacing w:line="440" w:lineRule="exact"/>
        <w:ind w:firstLine="482"/>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3</w:t>
      </w:r>
      <w:r>
        <w:rPr>
          <w:bCs/>
          <w:color w:val="000000" w:themeColor="text1"/>
          <w:sz w:val="24"/>
          <w:highlight w:val="none"/>
          <w14:textFill>
            <w14:solidFill>
              <w14:schemeClr w14:val="tx1"/>
            </w14:solidFill>
          </w14:textFill>
        </w:rPr>
        <w:t>4</w:t>
      </w:r>
      <w:r>
        <w:rPr>
          <w:rFonts w:hint="eastAsia"/>
          <w:bCs/>
          <w:color w:val="000000" w:themeColor="text1"/>
          <w:sz w:val="24"/>
          <w:highlight w:val="none"/>
          <w14:textFill>
            <w14:solidFill>
              <w14:schemeClr w14:val="tx1"/>
            </w14:solidFill>
          </w14:textFill>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A36864">
      <w:pPr>
        <w:spacing w:line="440" w:lineRule="exact"/>
        <w:ind w:firstLine="482"/>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3</w:t>
      </w:r>
      <w:r>
        <w:rPr>
          <w:bCs/>
          <w:color w:val="000000" w:themeColor="text1"/>
          <w:sz w:val="24"/>
          <w:highlight w:val="none"/>
          <w14:textFill>
            <w14:solidFill>
              <w14:schemeClr w14:val="tx1"/>
            </w14:solidFill>
          </w14:textFill>
        </w:rPr>
        <w:t>4</w:t>
      </w:r>
      <w:r>
        <w:rPr>
          <w:rFonts w:hint="eastAsia"/>
          <w:bCs/>
          <w:color w:val="000000" w:themeColor="text1"/>
          <w:sz w:val="24"/>
          <w:highlight w:val="none"/>
          <w14:textFill>
            <w14:solidFill>
              <w14:schemeClr w14:val="tx1"/>
            </w14:solidFill>
          </w14:textFill>
        </w:rPr>
        <w:t>.2采购人可以邀请参加本项目的其他供应商或者第三方机构参与验收。参与验收的供应商或者第三方机构的意见作为验收书的参考资料一并存档。</w:t>
      </w:r>
    </w:p>
    <w:p w14:paraId="721C3969">
      <w:pPr>
        <w:spacing w:line="440" w:lineRule="exact"/>
        <w:ind w:firstLine="482"/>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3</w:t>
      </w:r>
      <w:r>
        <w:rPr>
          <w:bCs/>
          <w:color w:val="000000" w:themeColor="text1"/>
          <w:sz w:val="24"/>
          <w:highlight w:val="none"/>
          <w14:textFill>
            <w14:solidFill>
              <w14:schemeClr w14:val="tx1"/>
            </w14:solidFill>
          </w14:textFill>
        </w:rPr>
        <w:t>4</w:t>
      </w:r>
      <w:r>
        <w:rPr>
          <w:rFonts w:hint="eastAsia"/>
          <w:bCs/>
          <w:color w:val="000000" w:themeColor="text1"/>
          <w:sz w:val="24"/>
          <w:highlight w:val="none"/>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p>
    <w:p w14:paraId="41C00B5C">
      <w:pPr>
        <w:spacing w:line="440" w:lineRule="exact"/>
        <w:ind w:firstLine="482"/>
        <w:rPr>
          <w:rFonts w:cs="宋体"/>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3</w:t>
      </w:r>
      <w:r>
        <w:rPr>
          <w:bCs/>
          <w:color w:val="000000" w:themeColor="text1"/>
          <w:sz w:val="24"/>
          <w:highlight w:val="none"/>
          <w14:textFill>
            <w14:solidFill>
              <w14:schemeClr w14:val="tx1"/>
            </w14:solidFill>
          </w14:textFill>
        </w:rPr>
        <w:t>4</w:t>
      </w:r>
      <w:r>
        <w:rPr>
          <w:rFonts w:hint="eastAsia"/>
          <w:bCs/>
          <w:color w:val="000000" w:themeColor="text1"/>
          <w:sz w:val="24"/>
          <w:highlight w:val="none"/>
          <w14:textFill>
            <w14:solidFill>
              <w14:schemeClr w14:val="tx1"/>
            </w14:solidFill>
          </w14:textFill>
        </w:rPr>
        <w:t>.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FC98182">
      <w:pPr>
        <w:spacing w:line="440" w:lineRule="exact"/>
        <w:ind w:firstLine="482"/>
        <w:outlineLvl w:val="2"/>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w:t>
      </w:r>
      <w:r>
        <w:rPr>
          <w:b/>
          <w:color w:val="000000" w:themeColor="text1"/>
          <w:sz w:val="24"/>
          <w:highlight w:val="none"/>
          <w14:textFill>
            <w14:solidFill>
              <w14:schemeClr w14:val="tx1"/>
            </w14:solidFill>
          </w14:textFill>
        </w:rPr>
        <w:t>5</w:t>
      </w:r>
      <w:r>
        <w:rPr>
          <w:rFonts w:hint="eastAsia"/>
          <w:b/>
          <w:color w:val="000000" w:themeColor="text1"/>
          <w:sz w:val="24"/>
          <w:highlight w:val="none"/>
          <w14:textFill>
            <w14:solidFill>
              <w14:schemeClr w14:val="tx1"/>
            </w14:solidFill>
          </w14:textFill>
        </w:rPr>
        <w:t>、付款</w:t>
      </w:r>
    </w:p>
    <w:p w14:paraId="0DD6B72F">
      <w:pPr>
        <w:spacing w:line="440" w:lineRule="exact"/>
        <w:ind w:firstLine="482"/>
        <w:rPr>
          <w:bCs/>
          <w:color w:val="000000" w:themeColor="text1"/>
          <w:sz w:val="24"/>
          <w:highlight w:val="none"/>
          <w14:textFill>
            <w14:solidFill>
              <w14:schemeClr w14:val="tx1"/>
            </w14:solidFill>
          </w14:textFill>
        </w:rPr>
      </w:pPr>
      <w:bookmarkStart w:id="194" w:name="EBec7f529f50594afd871ea9378869e456"/>
      <w:r>
        <w:rPr>
          <w:rFonts w:hint="eastAsia"/>
          <w:bCs/>
          <w:color w:val="000000" w:themeColor="text1"/>
          <w:sz w:val="24"/>
          <w:highlight w:val="none"/>
          <w14:textFill>
            <w14:solidFill>
              <w14:schemeClr w14:val="tx1"/>
            </w14:solidFill>
          </w14:textFill>
        </w:rPr>
        <w:t>按照以下</w:t>
      </w:r>
      <w:r>
        <w:rPr>
          <w:rFonts w:hint="eastAsia"/>
          <w:bCs/>
          <w:color w:val="000000" w:themeColor="text1"/>
          <w:sz w:val="24"/>
          <w:highlight w:val="none"/>
          <w:u w:val="single"/>
          <w14:textFill>
            <w14:solidFill>
              <w14:schemeClr w14:val="tx1"/>
            </w14:solidFill>
          </w14:textFill>
        </w:rPr>
        <w:t>（3）工程</w:t>
      </w:r>
      <w:r>
        <w:rPr>
          <w:rFonts w:hint="eastAsia"/>
          <w:bCs/>
          <w:color w:val="000000" w:themeColor="text1"/>
          <w:sz w:val="24"/>
          <w:highlight w:val="none"/>
          <w14:textFill>
            <w14:solidFill>
              <w14:schemeClr w14:val="tx1"/>
            </w14:solidFill>
          </w14:textFill>
        </w:rPr>
        <w:t>类项目确定的付款方式，采购人及时办理付款手续。对于满足合同约定支付条件的，自收到发票后10个工作日内将资金支付到合同约定的供应商账户或供应商数字人民币账户。</w:t>
      </w:r>
      <w:bookmarkEnd w:id="194"/>
    </w:p>
    <w:p w14:paraId="4C223363">
      <w:pPr>
        <w:spacing w:line="440" w:lineRule="exact"/>
        <w:ind w:firstLine="482"/>
        <w:outlineLvl w:val="3"/>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（1）货物类项目</w:t>
      </w:r>
    </w:p>
    <w:p w14:paraId="0FFB144A">
      <w:pPr>
        <w:spacing w:line="440" w:lineRule="exact"/>
        <w:ind w:firstLine="482"/>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预付款：合同金额的</w:t>
      </w:r>
      <w:r>
        <w:rPr>
          <w:rFonts w:hint="eastAsia"/>
          <w:bCs/>
          <w:color w:val="000000" w:themeColor="text1"/>
          <w:sz w:val="24"/>
          <w:highlight w:val="none"/>
          <w:u w:val="single"/>
          <w14:textFill>
            <w14:solidFill>
              <w14:schemeClr w14:val="tx1"/>
            </w14:solidFill>
          </w14:textFill>
        </w:rPr>
        <w:t xml:space="preserve">  /  </w:t>
      </w:r>
      <w:r>
        <w:rPr>
          <w:rFonts w:hint="eastAsia"/>
          <w:bCs/>
          <w:color w:val="000000" w:themeColor="text1"/>
          <w:sz w:val="24"/>
          <w:highlight w:val="none"/>
          <w14:textFill>
            <w14:solidFill>
              <w14:schemeClr w14:val="tx1"/>
            </w14:solidFill>
          </w14:textFill>
        </w:rPr>
        <w:t xml:space="preserve">%，合同签订后按规定支付； </w:t>
      </w:r>
    </w:p>
    <w:p w14:paraId="572343AA">
      <w:pPr>
        <w:spacing w:line="440" w:lineRule="exact"/>
        <w:ind w:firstLine="482"/>
        <w:rPr>
          <w:bCs/>
          <w:color w:val="000000" w:themeColor="text1"/>
          <w:sz w:val="24"/>
          <w:highlight w:val="none"/>
          <w:u w:val="single"/>
          <w14:textFill>
            <w14:solidFill>
              <w14:schemeClr w14:val="tx1"/>
            </w14:solidFill>
          </w14:textFill>
        </w:rPr>
      </w:pPr>
      <w:r>
        <w:rPr>
          <w:rFonts w:hint="eastAsia"/>
          <w:bCs/>
          <w:color w:val="000000" w:themeColor="text1"/>
          <w:sz w:val="24"/>
          <w:highlight w:val="none"/>
          <w14:textFill>
            <w14:solidFill>
              <w14:schemeClr w14:val="tx1"/>
            </w14:solidFill>
          </w14:textFill>
        </w:rPr>
        <w:t>进度款：</w:t>
      </w:r>
      <w:bookmarkStart w:id="195" w:name="EBf1f8b954f7504a2cb44cef25707c76a6"/>
      <w:bookmarkEnd w:id="195"/>
      <w:r>
        <w:rPr>
          <w:rFonts w:hint="eastAsia"/>
          <w:bCs/>
          <w:color w:val="000000" w:themeColor="text1"/>
          <w:sz w:val="24"/>
          <w:highlight w:val="none"/>
          <w:u w:val="single"/>
          <w14:textFill>
            <w14:solidFill>
              <w14:schemeClr w14:val="tx1"/>
            </w14:solidFill>
          </w14:textFill>
        </w:rPr>
        <w:t xml:space="preserve">               /                 </w:t>
      </w:r>
      <w:r>
        <w:rPr>
          <w:rFonts w:hint="eastAsia"/>
          <w:bCs/>
          <w:color w:val="000000" w:themeColor="text1"/>
          <w:sz w:val="24"/>
          <w:highlight w:val="none"/>
          <w14:textFill>
            <w14:solidFill>
              <w14:schemeClr w14:val="tx1"/>
            </w14:solidFill>
          </w14:textFill>
        </w:rPr>
        <w:t>。</w:t>
      </w:r>
    </w:p>
    <w:p w14:paraId="4AF16861">
      <w:pPr>
        <w:spacing w:line="440" w:lineRule="exact"/>
        <w:ind w:firstLine="482"/>
        <w:outlineLvl w:val="3"/>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（2）服务类项目</w:t>
      </w:r>
    </w:p>
    <w:p w14:paraId="299A6EA1">
      <w:pPr>
        <w:spacing w:line="440" w:lineRule="exact"/>
        <w:ind w:firstLine="482"/>
        <w:rPr>
          <w:rFonts w:eastAsia="仿宋_GB2312" w:cs="仿宋_GB2312"/>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预付款：合同金额的</w:t>
      </w:r>
      <w:bookmarkStart w:id="196" w:name="EBe373fd05aa034cc3a1a41aadf8509e01"/>
      <w:r>
        <w:rPr>
          <w:rFonts w:hint="eastAsia"/>
          <w:bCs/>
          <w:color w:val="000000" w:themeColor="text1"/>
          <w:sz w:val="24"/>
          <w:highlight w:val="none"/>
          <w:u w:val="single"/>
          <w14:textFill>
            <w14:solidFill>
              <w14:schemeClr w14:val="tx1"/>
            </w14:solidFill>
          </w14:textFill>
        </w:rPr>
        <w:t xml:space="preserve">  /  </w:t>
      </w:r>
      <w:r>
        <w:rPr>
          <w:rFonts w:hint="eastAsia"/>
          <w:bCs/>
          <w:color w:val="000000" w:themeColor="text1"/>
          <w:sz w:val="24"/>
          <w:highlight w:val="none"/>
          <w14:textFill>
            <w14:solidFill>
              <w14:schemeClr w14:val="tx1"/>
            </w14:solidFill>
          </w14:textFill>
        </w:rPr>
        <w:t>%</w:t>
      </w:r>
      <w:bookmarkEnd w:id="196"/>
      <w:r>
        <w:rPr>
          <w:rFonts w:hint="eastAsia"/>
          <w:bCs/>
          <w:color w:val="000000" w:themeColor="text1"/>
          <w:sz w:val="24"/>
          <w:highlight w:val="none"/>
          <w14:textFill>
            <w14:solidFill>
              <w14:schemeClr w14:val="tx1"/>
            </w14:solidFill>
          </w14:textFill>
        </w:rPr>
        <w:t>，合同签订后按规定支付；</w:t>
      </w:r>
    </w:p>
    <w:p w14:paraId="3ED84314">
      <w:pPr>
        <w:spacing w:line="440" w:lineRule="exact"/>
        <w:ind w:firstLine="482"/>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进度款：</w:t>
      </w:r>
      <w:bookmarkStart w:id="197" w:name="EB5e42c1c1be704ecfa15d9f8f317e8f12"/>
      <w:bookmarkEnd w:id="197"/>
      <w:r>
        <w:rPr>
          <w:rFonts w:hint="eastAsia"/>
          <w:bCs/>
          <w:color w:val="000000" w:themeColor="text1"/>
          <w:sz w:val="24"/>
          <w:highlight w:val="none"/>
          <w:u w:val="single"/>
          <w14:textFill>
            <w14:solidFill>
              <w14:schemeClr w14:val="tx1"/>
            </w14:solidFill>
          </w14:textFill>
        </w:rPr>
        <w:t xml:space="preserve">               /                 </w:t>
      </w:r>
      <w:r>
        <w:rPr>
          <w:rFonts w:hint="eastAsia"/>
          <w:bCs/>
          <w:color w:val="000000" w:themeColor="text1"/>
          <w:sz w:val="24"/>
          <w:highlight w:val="none"/>
          <w14:textFill>
            <w14:solidFill>
              <w14:schemeClr w14:val="tx1"/>
            </w14:solidFill>
          </w14:textFill>
        </w:rPr>
        <w:t>。</w:t>
      </w:r>
    </w:p>
    <w:p w14:paraId="0BF764FE">
      <w:pPr>
        <w:numPr>
          <w:ilvl w:val="0"/>
          <w:numId w:val="1"/>
        </w:numPr>
        <w:spacing w:line="440" w:lineRule="exact"/>
        <w:ind w:firstLine="482"/>
        <w:outlineLvl w:val="3"/>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工程类项目</w:t>
      </w:r>
    </w:p>
    <w:p w14:paraId="045986B0">
      <w:pPr>
        <w:spacing w:line="440" w:lineRule="exact"/>
        <w:ind w:firstLine="482"/>
        <w:rPr>
          <w:rFonts w:eastAsia="仿宋_GB2312" w:cs="仿宋_GB2312"/>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预付款：合同签订后，承包人向发包人提供合同价10%的预付款保函后，发包人支付合同价的10%作为预付款；</w:t>
      </w:r>
    </w:p>
    <w:p w14:paraId="1FCDC3A7">
      <w:pPr>
        <w:pStyle w:val="30"/>
        <w:spacing w:line="440" w:lineRule="exact"/>
        <w:ind w:firstLine="480"/>
        <w:rPr>
          <w:rFonts w:ascii="Times New Roman" w:hAnsi="Times New Roman"/>
          <w:bCs/>
          <w:color w:val="000000" w:themeColor="text1"/>
          <w:sz w:val="24"/>
          <w:highlight w:val="none"/>
          <w14:textFill>
            <w14:solidFill>
              <w14:schemeClr w14:val="tx1"/>
            </w14:solidFill>
          </w14:textFill>
        </w:rPr>
      </w:pPr>
      <w:r>
        <w:rPr>
          <w:rFonts w:hint="eastAsia" w:ascii="Times New Roman" w:hAnsi="Times New Roman"/>
          <w:bCs/>
          <w:color w:val="000000" w:themeColor="text1"/>
          <w:sz w:val="24"/>
          <w:highlight w:val="none"/>
          <w14:textFill>
            <w14:solidFill>
              <w14:schemeClr w14:val="tx1"/>
            </w14:solidFill>
          </w14:textFill>
        </w:rPr>
        <w:t>进度款：联调联试合格交工验收后支付至合同价款的80%；缺陷责任期满后支付剩余</w:t>
      </w:r>
      <w:r>
        <w:rPr>
          <w:rFonts w:hint="eastAsia" w:ascii="Times New Roman" w:hAnsi="Times New Roman"/>
          <w:bCs/>
          <w:color w:val="000000" w:themeColor="text1"/>
          <w:sz w:val="24"/>
          <w:highlight w:val="none"/>
          <w:lang w:val="en-US" w:eastAsia="zh-CN"/>
          <w14:textFill>
            <w14:solidFill>
              <w14:schemeClr w14:val="tx1"/>
            </w14:solidFill>
          </w14:textFill>
        </w:rPr>
        <w:t>合同价款</w:t>
      </w:r>
      <w:r>
        <w:rPr>
          <w:rFonts w:hint="eastAsia" w:ascii="Times New Roman" w:hAnsi="Times New Roman"/>
          <w:bCs/>
          <w:color w:val="000000" w:themeColor="text1"/>
          <w:sz w:val="24"/>
          <w:highlight w:val="none"/>
          <w14:textFill>
            <w14:solidFill>
              <w14:schemeClr w14:val="tx1"/>
            </w14:solidFill>
          </w14:textFill>
        </w:rPr>
        <w:t>。</w:t>
      </w:r>
    </w:p>
    <w:p w14:paraId="60B1E556">
      <w:pPr>
        <w:spacing w:line="440" w:lineRule="exact"/>
        <w:ind w:firstLine="480"/>
        <w:rPr>
          <w:bCs/>
          <w:color w:val="000000" w:themeColor="text1"/>
          <w:sz w:val="24"/>
          <w:szCs w:val="24"/>
          <w:highlight w:val="none"/>
          <w14:textFill>
            <w14:solidFill>
              <w14:schemeClr w14:val="tx1"/>
            </w14:solidFill>
          </w14:textFill>
        </w:rPr>
      </w:pPr>
      <w:bookmarkStart w:id="198" w:name="EB11398ec6946f4019bc4c35221e27b04f"/>
      <w:r>
        <w:rPr>
          <w:rFonts w:hint="eastAsia"/>
          <w:bCs/>
          <w:color w:val="000000" w:themeColor="text1"/>
          <w:sz w:val="24"/>
          <w:highlight w:val="none"/>
          <w14:textFill>
            <w14:solidFill>
              <w14:schemeClr w14:val="tx1"/>
            </w14:solidFill>
          </w14:textFill>
        </w:rPr>
        <w:t>注：在签订合同时，中标人明确表示无需预付款或者主动要求降低预付款比例的金额，采购人可不适用预付款规定。</w:t>
      </w:r>
      <w:bookmarkEnd w:id="198"/>
    </w:p>
    <w:p w14:paraId="30E0B478">
      <w:pPr>
        <w:keepNext/>
        <w:numPr>
          <w:ilvl w:val="0"/>
          <w:numId w:val="2"/>
        </w:numPr>
        <w:spacing w:line="440" w:lineRule="exact"/>
        <w:ind w:firstLine="482"/>
        <w:outlineLvl w:val="1"/>
        <w:rPr>
          <w:b/>
          <w:color w:val="000000" w:themeColor="text1"/>
          <w:sz w:val="24"/>
          <w:highlight w:val="none"/>
          <w14:textFill>
            <w14:solidFill>
              <w14:schemeClr w14:val="tx1"/>
            </w14:solidFill>
          </w14:textFill>
        </w:rPr>
      </w:pPr>
      <w:bookmarkStart w:id="199" w:name="_Toc14890"/>
      <w:r>
        <w:rPr>
          <w:rFonts w:hint="eastAsia"/>
          <w:b/>
          <w:color w:val="000000" w:themeColor="text1"/>
          <w:sz w:val="24"/>
          <w:highlight w:val="none"/>
          <w14:textFill>
            <w14:solidFill>
              <w14:schemeClr w14:val="tx1"/>
            </w14:solidFill>
          </w14:textFill>
        </w:rPr>
        <w:t>供应商合法权益补偿救济机制</w:t>
      </w:r>
      <w:bookmarkEnd w:id="199"/>
    </w:p>
    <w:p w14:paraId="60B14085">
      <w:pPr>
        <w:keepNext/>
        <w:spacing w:line="440" w:lineRule="exact"/>
        <w:ind w:firstLine="480" w:firstLineChars="200"/>
        <w:jc w:val="left"/>
        <w:rPr>
          <w:bCs/>
          <w:color w:val="000000" w:themeColor="text1"/>
          <w:sz w:val="24"/>
          <w:highlight w:val="none"/>
          <w14:textFill>
            <w14:solidFill>
              <w14:schemeClr w14:val="tx1"/>
            </w14:solidFill>
          </w14:textFill>
        </w:rPr>
      </w:pPr>
      <w:bookmarkStart w:id="200" w:name="_Toc736"/>
      <w:r>
        <w:rPr>
          <w:rFonts w:hint="eastAsia"/>
          <w:bCs/>
          <w:color w:val="000000" w:themeColor="text1"/>
          <w:sz w:val="24"/>
          <w:highlight w:val="none"/>
          <w14:textFill>
            <w14:solidFill>
              <w14:schemeClr w14:val="tx1"/>
            </w14:solidFill>
          </w14:textFill>
        </w:rPr>
        <w:t>在履约过程因政策变化、规划调整而无法履行合同约定，造成企业合法权益受损的，采购人依据实际情况对供应商进行补偿救济。</w:t>
      </w:r>
      <w:bookmarkEnd w:id="200"/>
    </w:p>
    <w:p w14:paraId="7FDF45D6">
      <w:pPr>
        <w:keepNext/>
        <w:keepLines/>
        <w:spacing w:before="260" w:after="260" w:line="440" w:lineRule="exact"/>
        <w:jc w:val="center"/>
        <w:outlineLvl w:val="0"/>
        <w:rPr>
          <w:rFonts w:eastAsia="黑体"/>
          <w:bCs/>
          <w:color w:val="000000" w:themeColor="text1"/>
          <w:sz w:val="44"/>
          <w:szCs w:val="28"/>
          <w:highlight w:val="none"/>
          <w14:textFill>
            <w14:solidFill>
              <w14:schemeClr w14:val="tx1"/>
            </w14:solidFill>
          </w14:textFill>
        </w:rPr>
      </w:pPr>
      <w:r>
        <w:rPr>
          <w:rFonts w:hint="eastAsia" w:eastAsia="黑体"/>
          <w:bCs/>
          <w:color w:val="000000" w:themeColor="text1"/>
          <w:sz w:val="44"/>
          <w:szCs w:val="28"/>
          <w:highlight w:val="none"/>
          <w14:textFill>
            <w14:solidFill>
              <w14:schemeClr w14:val="tx1"/>
            </w14:solidFill>
          </w14:textFill>
        </w:rPr>
        <w:br w:type="page" w:clear="all"/>
      </w:r>
      <w:bookmarkStart w:id="201" w:name="_Toc1582"/>
      <w:bookmarkStart w:id="202" w:name="_Toc25083"/>
      <w:r>
        <w:rPr>
          <w:rFonts w:hint="eastAsia" w:eastAsia="黑体" w:cs="Arial"/>
          <w:b/>
          <w:bCs/>
          <w:color w:val="000000" w:themeColor="text1"/>
          <w:sz w:val="44"/>
          <w:szCs w:val="44"/>
          <w:highlight w:val="none"/>
          <w14:textFill>
            <w14:solidFill>
              <w14:schemeClr w14:val="tx1"/>
            </w14:solidFill>
          </w14:textFill>
        </w:rPr>
        <w:t>第三章  合同</w:t>
      </w:r>
      <w:bookmarkEnd w:id="189"/>
      <w:bookmarkEnd w:id="190"/>
      <w:bookmarkEnd w:id="191"/>
      <w:bookmarkEnd w:id="192"/>
      <w:bookmarkEnd w:id="193"/>
      <w:r>
        <w:rPr>
          <w:rFonts w:hint="eastAsia" w:eastAsia="黑体" w:cs="Arial"/>
          <w:b/>
          <w:bCs/>
          <w:color w:val="000000" w:themeColor="text1"/>
          <w:sz w:val="44"/>
          <w:szCs w:val="44"/>
          <w:highlight w:val="none"/>
          <w14:textFill>
            <w14:solidFill>
              <w14:schemeClr w14:val="tx1"/>
            </w14:solidFill>
          </w14:textFill>
        </w:rPr>
        <w:t>文本</w:t>
      </w:r>
      <w:bookmarkEnd w:id="201"/>
      <w:bookmarkEnd w:id="202"/>
    </w:p>
    <w:p w14:paraId="26199508">
      <w:pPr>
        <w:spacing w:line="500" w:lineRule="exact"/>
        <w:ind w:firstLine="480"/>
        <w:rPr>
          <w:bCs/>
          <w:color w:val="000000" w:themeColor="text1"/>
          <w:sz w:val="24"/>
          <w:szCs w:val="21"/>
          <w:highlight w:val="none"/>
          <w14:textFill>
            <w14:solidFill>
              <w14:schemeClr w14:val="tx1"/>
            </w14:solidFill>
          </w14:textFill>
        </w:rPr>
      </w:pPr>
      <w:bookmarkStart w:id="203" w:name="_Toc513029243"/>
      <w:bookmarkStart w:id="204" w:name="_Toc20823315"/>
      <w:bookmarkStart w:id="205" w:name="_Toc16938559"/>
      <w:r>
        <w:rPr>
          <w:rFonts w:hint="eastAsia"/>
          <w:bCs/>
          <w:color w:val="000000" w:themeColor="text1"/>
          <w:sz w:val="24"/>
          <w:szCs w:val="21"/>
          <w:highlight w:val="none"/>
          <w14:textFill>
            <w14:solidFill>
              <w14:schemeClr w14:val="tx1"/>
            </w14:solidFill>
          </w14:textFill>
        </w:rPr>
        <w:t>以下为成交后签定本项目合同的通用条款，成交供应商不得提出实质性的修改。</w:t>
      </w:r>
    </w:p>
    <w:bookmarkEnd w:id="203"/>
    <w:bookmarkEnd w:id="204"/>
    <w:bookmarkEnd w:id="205"/>
    <w:p w14:paraId="5B4C8FB7">
      <w:pPr>
        <w:rPr>
          <w:color w:val="000000" w:themeColor="text1"/>
          <w:highlight w:val="none"/>
          <w14:textFill>
            <w14:solidFill>
              <w14:schemeClr w14:val="tx1"/>
            </w14:solidFill>
          </w14:textFill>
        </w:rPr>
      </w:pPr>
      <w:bookmarkStart w:id="206" w:name="_Toc20823346"/>
      <w:bookmarkStart w:id="207" w:name="_Toc24662"/>
      <w:bookmarkStart w:id="208" w:name="_Toc16938590"/>
      <w:bookmarkStart w:id="209" w:name="_Hlt16619350"/>
      <w:bookmarkStart w:id="210" w:name="_Toc120614244"/>
      <w:bookmarkStart w:id="211" w:name="_Toc479757211"/>
      <w:bookmarkStart w:id="212" w:name="_Toc462564139"/>
    </w:p>
    <w:p w14:paraId="10662F1E">
      <w:pPr>
        <w:keepNext/>
        <w:keepLines/>
        <w:spacing w:before="340" w:after="330" w:line="576" w:lineRule="auto"/>
        <w:jc w:val="center"/>
        <w:rPr>
          <w:rFonts w:eastAsia="Times New Roman"/>
          <w:b/>
          <w:bCs/>
          <w:color w:val="000000" w:themeColor="text1"/>
          <w:kern w:val="44"/>
          <w:sz w:val="44"/>
          <w:szCs w:val="44"/>
          <w:highlight w:val="none"/>
          <w14:textFill>
            <w14:solidFill>
              <w14:schemeClr w14:val="tx1"/>
            </w14:solidFill>
          </w14:textFill>
        </w:rPr>
      </w:pPr>
      <w:r>
        <w:rPr>
          <w:rFonts w:hint="eastAsia"/>
          <w:b/>
          <w:bCs/>
          <w:color w:val="000000" w:themeColor="text1"/>
          <w:kern w:val="44"/>
          <w:sz w:val="40"/>
          <w:szCs w:val="40"/>
          <w:highlight w:val="none"/>
          <w14:textFill>
            <w14:solidFill>
              <w14:schemeClr w14:val="tx1"/>
            </w14:solidFill>
          </w14:textFill>
        </w:rPr>
        <w:t>项目</w:t>
      </w:r>
    </w:p>
    <w:p w14:paraId="0D8D133A">
      <w:pPr>
        <w:rPr>
          <w:color w:val="000000" w:themeColor="text1"/>
          <w:kern w:val="2"/>
          <w:highlight w:val="none"/>
          <w14:textFill>
            <w14:solidFill>
              <w14:schemeClr w14:val="tx1"/>
            </w14:solidFill>
          </w14:textFill>
        </w:rPr>
      </w:pPr>
    </w:p>
    <w:p w14:paraId="084CCE57">
      <w:pPr>
        <w:rPr>
          <w:color w:val="000000" w:themeColor="text1"/>
          <w:kern w:val="2"/>
          <w:highlight w:val="none"/>
          <w14:textFill>
            <w14:solidFill>
              <w14:schemeClr w14:val="tx1"/>
            </w14:solidFill>
          </w14:textFill>
        </w:rPr>
      </w:pPr>
    </w:p>
    <w:p w14:paraId="6504B8CE">
      <w:pPr>
        <w:rPr>
          <w:color w:val="000000" w:themeColor="text1"/>
          <w:kern w:val="2"/>
          <w:highlight w:val="none"/>
          <w14:textFill>
            <w14:solidFill>
              <w14:schemeClr w14:val="tx1"/>
            </w14:solidFill>
          </w14:textFill>
        </w:rPr>
      </w:pPr>
    </w:p>
    <w:p w14:paraId="3035B33A">
      <w:pPr>
        <w:rPr>
          <w:color w:val="000000" w:themeColor="text1"/>
          <w:kern w:val="2"/>
          <w:highlight w:val="none"/>
          <w14:textFill>
            <w14:solidFill>
              <w14:schemeClr w14:val="tx1"/>
            </w14:solidFill>
          </w14:textFill>
        </w:rPr>
      </w:pPr>
    </w:p>
    <w:p w14:paraId="4889D876">
      <w:pPr>
        <w:rPr>
          <w:color w:val="000000" w:themeColor="text1"/>
          <w:kern w:val="2"/>
          <w:highlight w:val="none"/>
          <w14:textFill>
            <w14:solidFill>
              <w14:schemeClr w14:val="tx1"/>
            </w14:solidFill>
          </w14:textFill>
        </w:rPr>
      </w:pPr>
    </w:p>
    <w:p w14:paraId="14F0D30F">
      <w:pPr>
        <w:rPr>
          <w:color w:val="000000" w:themeColor="text1"/>
          <w:kern w:val="2"/>
          <w:highlight w:val="none"/>
          <w14:textFill>
            <w14:solidFill>
              <w14:schemeClr w14:val="tx1"/>
            </w14:solidFill>
          </w14:textFill>
        </w:rPr>
      </w:pPr>
    </w:p>
    <w:p w14:paraId="5CF74A92">
      <w:pPr>
        <w:jc w:val="center"/>
        <w:rPr>
          <w:rFonts w:ascii="黑体" w:hAnsi="黑体" w:eastAsia="黑体"/>
          <w:color w:val="000000" w:themeColor="text1"/>
          <w:kern w:val="2"/>
          <w:sz w:val="72"/>
          <w:szCs w:val="72"/>
          <w:highlight w:val="none"/>
          <w14:textFill>
            <w14:solidFill>
              <w14:schemeClr w14:val="tx1"/>
            </w14:solidFill>
          </w14:textFill>
        </w:rPr>
      </w:pPr>
    </w:p>
    <w:p w14:paraId="7E94BB0D">
      <w:pPr>
        <w:jc w:val="center"/>
        <w:rPr>
          <w:rFonts w:ascii="黑体" w:hAnsi="黑体" w:eastAsia="黑体"/>
          <w:color w:val="000000" w:themeColor="text1"/>
          <w:kern w:val="2"/>
          <w:sz w:val="72"/>
          <w:szCs w:val="72"/>
          <w:highlight w:val="none"/>
          <w14:textFill>
            <w14:solidFill>
              <w14:schemeClr w14:val="tx1"/>
            </w14:solidFill>
          </w14:textFill>
        </w:rPr>
      </w:pPr>
      <w:r>
        <w:rPr>
          <w:rFonts w:hint="eastAsia" w:ascii="黑体" w:hAnsi="黑体" w:eastAsia="黑体"/>
          <w:color w:val="000000" w:themeColor="text1"/>
          <w:kern w:val="2"/>
          <w:sz w:val="72"/>
          <w:szCs w:val="72"/>
          <w:highlight w:val="none"/>
          <w14:textFill>
            <w14:solidFill>
              <w14:schemeClr w14:val="tx1"/>
            </w14:solidFill>
          </w14:textFill>
        </w:rPr>
        <w:t>施   工  合  同</w:t>
      </w:r>
    </w:p>
    <w:p w14:paraId="0DF2CA50">
      <w:pPr>
        <w:jc w:val="center"/>
        <w:rPr>
          <w:rFonts w:ascii="黑体" w:hAnsi="黑体" w:eastAsia="黑体"/>
          <w:color w:val="000000" w:themeColor="text1"/>
          <w:kern w:val="2"/>
          <w:sz w:val="28"/>
          <w:szCs w:val="28"/>
          <w:highlight w:val="none"/>
          <w14:textFill>
            <w14:solidFill>
              <w14:schemeClr w14:val="tx1"/>
            </w14:solidFill>
          </w14:textFill>
        </w:rPr>
      </w:pPr>
    </w:p>
    <w:p w14:paraId="092C7A91">
      <w:pPr>
        <w:jc w:val="center"/>
        <w:rPr>
          <w:rFonts w:ascii="黑体" w:hAnsi="黑体" w:eastAsia="黑体"/>
          <w:color w:val="000000" w:themeColor="text1"/>
          <w:kern w:val="2"/>
          <w:sz w:val="28"/>
          <w:szCs w:val="28"/>
          <w:highlight w:val="none"/>
          <w14:textFill>
            <w14:solidFill>
              <w14:schemeClr w14:val="tx1"/>
            </w14:solidFill>
          </w14:textFill>
        </w:rPr>
      </w:pPr>
    </w:p>
    <w:p w14:paraId="16638ACA">
      <w:pPr>
        <w:jc w:val="center"/>
        <w:rPr>
          <w:rFonts w:ascii="黑体" w:hAnsi="黑体" w:eastAsia="黑体"/>
          <w:color w:val="000000" w:themeColor="text1"/>
          <w:kern w:val="2"/>
          <w:sz w:val="28"/>
          <w:szCs w:val="28"/>
          <w:highlight w:val="none"/>
          <w14:textFill>
            <w14:solidFill>
              <w14:schemeClr w14:val="tx1"/>
            </w14:solidFill>
          </w14:textFill>
        </w:rPr>
      </w:pPr>
    </w:p>
    <w:p w14:paraId="1E01ADAA">
      <w:pPr>
        <w:jc w:val="center"/>
        <w:rPr>
          <w:rFonts w:ascii="黑体" w:hAnsi="黑体" w:eastAsia="黑体"/>
          <w:color w:val="000000" w:themeColor="text1"/>
          <w:kern w:val="2"/>
          <w:sz w:val="28"/>
          <w:szCs w:val="28"/>
          <w:highlight w:val="none"/>
          <w14:textFill>
            <w14:solidFill>
              <w14:schemeClr w14:val="tx1"/>
            </w14:solidFill>
          </w14:textFill>
        </w:rPr>
      </w:pPr>
    </w:p>
    <w:p w14:paraId="6D8D57BA">
      <w:pPr>
        <w:jc w:val="center"/>
        <w:rPr>
          <w:rFonts w:ascii="黑体" w:hAnsi="黑体" w:eastAsia="黑体"/>
          <w:color w:val="000000" w:themeColor="text1"/>
          <w:kern w:val="2"/>
          <w:sz w:val="28"/>
          <w:szCs w:val="28"/>
          <w:highlight w:val="none"/>
          <w14:textFill>
            <w14:solidFill>
              <w14:schemeClr w14:val="tx1"/>
            </w14:solidFill>
          </w14:textFill>
        </w:rPr>
      </w:pPr>
    </w:p>
    <w:p w14:paraId="64627945">
      <w:pPr>
        <w:rPr>
          <w:color w:val="000000" w:themeColor="text1"/>
          <w:kern w:val="2"/>
          <w:sz w:val="28"/>
          <w:szCs w:val="28"/>
          <w:highlight w:val="none"/>
          <w:u w:val="single"/>
          <w14:textFill>
            <w14:solidFill>
              <w14:schemeClr w14:val="tx1"/>
            </w14:solidFill>
          </w14:textFill>
        </w:rPr>
      </w:pPr>
      <w:r>
        <w:rPr>
          <w:rFonts w:hint="eastAsia"/>
          <w:b/>
          <w:color w:val="000000" w:themeColor="text1"/>
          <w:kern w:val="2"/>
          <w:sz w:val="28"/>
          <w:szCs w:val="28"/>
          <w:highlight w:val="none"/>
          <w14:textFill>
            <w14:solidFill>
              <w14:schemeClr w14:val="tx1"/>
            </w14:solidFill>
          </w14:textFill>
        </w:rPr>
        <w:t>发包人：</w:t>
      </w:r>
    </w:p>
    <w:p w14:paraId="7E288114">
      <w:pPr>
        <w:rPr>
          <w:b/>
          <w:color w:val="000000" w:themeColor="text1"/>
          <w:kern w:val="2"/>
          <w:sz w:val="28"/>
          <w:szCs w:val="28"/>
          <w:highlight w:val="none"/>
          <w14:textFill>
            <w14:solidFill>
              <w14:schemeClr w14:val="tx1"/>
            </w14:solidFill>
          </w14:textFill>
        </w:rPr>
      </w:pPr>
      <w:r>
        <w:rPr>
          <w:rFonts w:hint="eastAsia"/>
          <w:b/>
          <w:color w:val="000000" w:themeColor="text1"/>
          <w:kern w:val="2"/>
          <w:sz w:val="28"/>
          <w:szCs w:val="28"/>
          <w:highlight w:val="none"/>
          <w14:textFill>
            <w14:solidFill>
              <w14:schemeClr w14:val="tx1"/>
            </w14:solidFill>
          </w14:textFill>
        </w:rPr>
        <w:t>承包人：</w:t>
      </w:r>
    </w:p>
    <w:p w14:paraId="4F2597A0">
      <w:pPr>
        <w:jc w:val="center"/>
        <w:rPr>
          <w:b/>
          <w:color w:val="000000" w:themeColor="text1"/>
          <w:kern w:val="2"/>
          <w:sz w:val="28"/>
          <w:szCs w:val="28"/>
          <w:highlight w:val="none"/>
          <w14:textFill>
            <w14:solidFill>
              <w14:schemeClr w14:val="tx1"/>
            </w14:solidFill>
          </w14:textFill>
        </w:rPr>
      </w:pPr>
      <w:r>
        <w:rPr>
          <w:rFonts w:hint="eastAsia"/>
          <w:b/>
          <w:color w:val="000000" w:themeColor="text1"/>
          <w:kern w:val="2"/>
          <w:sz w:val="28"/>
          <w:szCs w:val="28"/>
          <w:highlight w:val="none"/>
          <w14:textFill>
            <w14:solidFill>
              <w14:schemeClr w14:val="tx1"/>
            </w14:solidFill>
          </w14:textFill>
        </w:rPr>
        <w:t>日期：年月日</w:t>
      </w:r>
    </w:p>
    <w:p w14:paraId="3E10140A">
      <w:pPr>
        <w:widowControl/>
        <w:jc w:val="left"/>
        <w:rPr>
          <w:b/>
          <w:color w:val="000000" w:themeColor="text1"/>
          <w:kern w:val="2"/>
          <w:sz w:val="28"/>
          <w:szCs w:val="28"/>
          <w:highlight w:val="none"/>
          <w14:textFill>
            <w14:solidFill>
              <w14:schemeClr w14:val="tx1"/>
            </w14:solidFill>
          </w14:textFill>
        </w:rPr>
      </w:pPr>
      <w:r>
        <w:rPr>
          <w:b/>
          <w:color w:val="000000" w:themeColor="text1"/>
          <w:kern w:val="2"/>
          <w:sz w:val="28"/>
          <w:szCs w:val="28"/>
          <w:highlight w:val="none"/>
          <w14:textFill>
            <w14:solidFill>
              <w14:schemeClr w14:val="tx1"/>
            </w14:solidFill>
          </w14:textFill>
        </w:rPr>
        <w:br w:type="page"/>
      </w:r>
    </w:p>
    <w:p w14:paraId="507DEE1E">
      <w:pPr>
        <w:keepNext/>
        <w:keepLines/>
        <w:spacing w:before="240" w:after="240" w:line="360" w:lineRule="auto"/>
        <w:ind w:firstLine="640" w:firstLineChars="200"/>
        <w:jc w:val="center"/>
        <w:rPr>
          <w:rFonts w:ascii="宋体" w:hAnsi="宋体" w:cs="宋体"/>
          <w:bCs/>
          <w:color w:val="000000" w:themeColor="text1"/>
          <w:kern w:val="44"/>
          <w:sz w:val="32"/>
          <w:szCs w:val="32"/>
          <w:highlight w:val="none"/>
          <w14:textFill>
            <w14:solidFill>
              <w14:schemeClr w14:val="tx1"/>
            </w14:solidFill>
          </w14:textFill>
        </w:rPr>
      </w:pPr>
      <w:r>
        <w:rPr>
          <w:rFonts w:hint="eastAsia" w:ascii="宋体" w:hAnsi="宋体" w:cs="宋体"/>
          <w:bCs/>
          <w:color w:val="000000" w:themeColor="text1"/>
          <w:kern w:val="44"/>
          <w:sz w:val="32"/>
          <w:szCs w:val="32"/>
          <w:highlight w:val="none"/>
          <w14:textFill>
            <w14:solidFill>
              <w14:schemeClr w14:val="tx1"/>
            </w14:solidFill>
          </w14:textFill>
        </w:rPr>
        <w:t>第一节  通用合同条款</w:t>
      </w:r>
    </w:p>
    <w:p w14:paraId="6228C337">
      <w:pPr>
        <w:keepNext/>
        <w:keepLines/>
        <w:spacing w:before="240" w:after="240" w:line="360" w:lineRule="auto"/>
        <w:ind w:firstLine="480" w:firstLineChars="200"/>
        <w:jc w:val="center"/>
        <w:rPr>
          <w:rFonts w:ascii="宋体" w:hAnsi="宋体" w:cs="宋体"/>
          <w:bCs/>
          <w:color w:val="000000" w:themeColor="text1"/>
          <w:kern w:val="44"/>
          <w:sz w:val="42"/>
          <w:szCs w:val="42"/>
          <w:highlight w:val="none"/>
          <w14:textFill>
            <w14:solidFill>
              <w14:schemeClr w14:val="tx1"/>
            </w14:solidFill>
          </w14:textFill>
        </w:rPr>
      </w:pPr>
      <w:r>
        <w:rPr>
          <w:rFonts w:hint="eastAsia" w:ascii="宋体" w:hAnsi="宋体" w:cs="宋体"/>
          <w:color w:val="000000" w:themeColor="text1"/>
          <w:kern w:val="44"/>
          <w:sz w:val="24"/>
          <w:szCs w:val="24"/>
          <w:highlight w:val="none"/>
          <w14:textFill>
            <w14:solidFill>
              <w14:schemeClr w14:val="tx1"/>
            </w14:solidFill>
          </w14:textFill>
        </w:rPr>
        <w:t>本部分不加修改地引用江苏省交通运输厅《江苏省公路水运工程建设项目公路机电工程标准施工招标文件》（2019年版）相关内容。</w:t>
      </w:r>
      <w:r>
        <w:rPr>
          <w:rFonts w:hint="eastAsia" w:ascii="宋体" w:hAnsi="宋体" w:cs="宋体"/>
          <w:b/>
          <w:bCs/>
          <w:color w:val="000000" w:themeColor="text1"/>
          <w:kern w:val="44"/>
          <w:sz w:val="28"/>
          <w:szCs w:val="28"/>
          <w:highlight w:val="none"/>
          <w14:textFill>
            <w14:solidFill>
              <w14:schemeClr w14:val="tx1"/>
            </w14:solidFill>
          </w14:textFill>
        </w:rPr>
        <w:br w:type="page"/>
      </w:r>
      <w:bookmarkStart w:id="213" w:name="_Toc517787739"/>
      <w:bookmarkStart w:id="214" w:name="_Toc234833122"/>
      <w:r>
        <w:rPr>
          <w:rFonts w:hint="eastAsia" w:ascii="宋体" w:hAnsi="宋体" w:cs="宋体"/>
          <w:bCs/>
          <w:color w:val="000000" w:themeColor="text1"/>
          <w:kern w:val="44"/>
          <w:sz w:val="32"/>
          <w:szCs w:val="32"/>
          <w:highlight w:val="none"/>
          <w14:textFill>
            <w14:solidFill>
              <w14:schemeClr w14:val="tx1"/>
            </w14:solidFill>
          </w14:textFill>
        </w:rPr>
        <w:t>第二节  专用合同条款</w:t>
      </w:r>
      <w:bookmarkEnd w:id="213"/>
      <w:bookmarkEnd w:id="214"/>
      <w:bookmarkStart w:id="215" w:name="_Toc234833123"/>
      <w:bookmarkStart w:id="216" w:name="_Toc517787740"/>
    </w:p>
    <w:p w14:paraId="23AE5776">
      <w:pPr>
        <w:keepNext/>
        <w:keepLines/>
        <w:spacing w:before="240" w:after="240" w:line="360" w:lineRule="auto"/>
        <w:ind w:firstLine="640" w:firstLineChars="200"/>
        <w:jc w:val="center"/>
        <w:outlineLvl w:val="1"/>
        <w:rPr>
          <w:rFonts w:ascii="宋体" w:hAnsi="宋体" w:cs="宋体"/>
          <w:bCs/>
          <w:color w:val="000000" w:themeColor="text1"/>
          <w:kern w:val="44"/>
          <w:sz w:val="32"/>
          <w:szCs w:val="32"/>
          <w:highlight w:val="none"/>
          <w14:textFill>
            <w14:solidFill>
              <w14:schemeClr w14:val="tx1"/>
            </w14:solidFill>
          </w14:textFill>
        </w:rPr>
      </w:pPr>
      <w:r>
        <w:rPr>
          <w:rFonts w:hint="eastAsia" w:ascii="宋体" w:hAnsi="宋体" w:cs="宋体"/>
          <w:bCs/>
          <w:color w:val="000000" w:themeColor="text1"/>
          <w:kern w:val="44"/>
          <w:sz w:val="32"/>
          <w:szCs w:val="32"/>
          <w:highlight w:val="none"/>
          <w14:textFill>
            <w14:solidFill>
              <w14:schemeClr w14:val="tx1"/>
            </w14:solidFill>
          </w14:textFill>
        </w:rPr>
        <w:t>A．公路工程专用合同条款</w:t>
      </w:r>
    </w:p>
    <w:p w14:paraId="10FCDAF0">
      <w:pPr>
        <w:rPr>
          <w:rFonts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本部分不加修改地引用江苏省交通运输厅《江苏省公路水运工程建设项目公路机电工程标准施工招标文件》（2019年版）相关内容。</w:t>
      </w:r>
    </w:p>
    <w:bookmarkEnd w:id="215"/>
    <w:bookmarkEnd w:id="216"/>
    <w:p w14:paraId="19E25436">
      <w:pPr>
        <w:rPr>
          <w:rFonts w:ascii="宋体" w:hAnsi="宋体" w:cs="宋体"/>
          <w:color w:val="000000" w:themeColor="text1"/>
          <w:kern w:val="2"/>
          <w:szCs w:val="24"/>
          <w:highlight w:val="none"/>
          <w14:textFill>
            <w14:solidFill>
              <w14:schemeClr w14:val="tx1"/>
            </w14:solidFill>
          </w14:textFill>
        </w:rPr>
      </w:pPr>
      <w:bookmarkStart w:id="217" w:name="_Toc234833220"/>
      <w:bookmarkStart w:id="218" w:name="_Toc517787839"/>
    </w:p>
    <w:p w14:paraId="431B9C13">
      <w:pPr>
        <w:rPr>
          <w:rFonts w:ascii="宋体" w:hAnsi="宋体" w:cs="宋体"/>
          <w:color w:val="000000" w:themeColor="text1"/>
          <w:kern w:val="2"/>
          <w:szCs w:val="24"/>
          <w:highlight w:val="none"/>
          <w14:textFill>
            <w14:solidFill>
              <w14:schemeClr w14:val="tx1"/>
            </w14:solidFill>
          </w14:textFill>
        </w:rPr>
      </w:pPr>
    </w:p>
    <w:p w14:paraId="5BA0D393">
      <w:pPr>
        <w:rPr>
          <w:rFonts w:ascii="宋体" w:hAnsi="宋体" w:cs="宋体"/>
          <w:color w:val="000000" w:themeColor="text1"/>
          <w:kern w:val="2"/>
          <w:szCs w:val="24"/>
          <w:highlight w:val="none"/>
          <w14:textFill>
            <w14:solidFill>
              <w14:schemeClr w14:val="tx1"/>
            </w14:solidFill>
          </w14:textFill>
        </w:rPr>
      </w:pPr>
    </w:p>
    <w:p w14:paraId="018164AA">
      <w:pPr>
        <w:rPr>
          <w:rFonts w:ascii="宋体" w:hAnsi="宋体" w:cs="宋体"/>
          <w:color w:val="000000" w:themeColor="text1"/>
          <w:kern w:val="2"/>
          <w:szCs w:val="24"/>
          <w:highlight w:val="none"/>
          <w14:textFill>
            <w14:solidFill>
              <w14:schemeClr w14:val="tx1"/>
            </w14:solidFill>
          </w14:textFill>
        </w:rPr>
      </w:pPr>
    </w:p>
    <w:p w14:paraId="22940C27">
      <w:pPr>
        <w:rPr>
          <w:rFonts w:ascii="宋体" w:hAnsi="宋体" w:cs="宋体"/>
          <w:color w:val="000000" w:themeColor="text1"/>
          <w:kern w:val="2"/>
          <w:szCs w:val="24"/>
          <w:highlight w:val="none"/>
          <w14:textFill>
            <w14:solidFill>
              <w14:schemeClr w14:val="tx1"/>
            </w14:solidFill>
          </w14:textFill>
        </w:rPr>
      </w:pPr>
    </w:p>
    <w:p w14:paraId="76809C83">
      <w:pPr>
        <w:rPr>
          <w:rFonts w:ascii="宋体" w:hAnsi="宋体" w:cs="宋体"/>
          <w:color w:val="000000" w:themeColor="text1"/>
          <w:kern w:val="2"/>
          <w:szCs w:val="24"/>
          <w:highlight w:val="none"/>
          <w14:textFill>
            <w14:solidFill>
              <w14:schemeClr w14:val="tx1"/>
            </w14:solidFill>
          </w14:textFill>
        </w:rPr>
      </w:pPr>
    </w:p>
    <w:p w14:paraId="4AA5F981">
      <w:pPr>
        <w:rPr>
          <w:rFonts w:ascii="宋体" w:hAnsi="宋体" w:cs="宋体"/>
          <w:color w:val="000000" w:themeColor="text1"/>
          <w:kern w:val="2"/>
          <w:szCs w:val="24"/>
          <w:highlight w:val="none"/>
          <w14:textFill>
            <w14:solidFill>
              <w14:schemeClr w14:val="tx1"/>
            </w14:solidFill>
          </w14:textFill>
        </w:rPr>
      </w:pPr>
    </w:p>
    <w:p w14:paraId="2F1A25C4">
      <w:pPr>
        <w:rPr>
          <w:rFonts w:ascii="宋体" w:hAnsi="宋体" w:cs="宋体"/>
          <w:color w:val="000000" w:themeColor="text1"/>
          <w:kern w:val="2"/>
          <w:szCs w:val="24"/>
          <w:highlight w:val="none"/>
          <w14:textFill>
            <w14:solidFill>
              <w14:schemeClr w14:val="tx1"/>
            </w14:solidFill>
          </w14:textFill>
        </w:rPr>
      </w:pPr>
    </w:p>
    <w:p w14:paraId="667EE589">
      <w:pPr>
        <w:rPr>
          <w:rFonts w:ascii="宋体" w:hAnsi="宋体" w:cs="宋体"/>
          <w:color w:val="000000" w:themeColor="text1"/>
          <w:kern w:val="2"/>
          <w:szCs w:val="24"/>
          <w:highlight w:val="none"/>
          <w14:textFill>
            <w14:solidFill>
              <w14:schemeClr w14:val="tx1"/>
            </w14:solidFill>
          </w14:textFill>
        </w:rPr>
      </w:pPr>
    </w:p>
    <w:p w14:paraId="0DA7A127">
      <w:pPr>
        <w:rPr>
          <w:rFonts w:ascii="宋体" w:hAnsi="宋体" w:cs="宋体"/>
          <w:color w:val="000000" w:themeColor="text1"/>
          <w:kern w:val="2"/>
          <w:szCs w:val="24"/>
          <w:highlight w:val="none"/>
          <w14:textFill>
            <w14:solidFill>
              <w14:schemeClr w14:val="tx1"/>
            </w14:solidFill>
          </w14:textFill>
        </w:rPr>
      </w:pPr>
    </w:p>
    <w:p w14:paraId="0289C3FF">
      <w:pPr>
        <w:rPr>
          <w:rFonts w:ascii="宋体" w:hAnsi="宋体" w:cs="宋体"/>
          <w:color w:val="000000" w:themeColor="text1"/>
          <w:kern w:val="2"/>
          <w:szCs w:val="24"/>
          <w:highlight w:val="none"/>
          <w14:textFill>
            <w14:solidFill>
              <w14:schemeClr w14:val="tx1"/>
            </w14:solidFill>
          </w14:textFill>
        </w:rPr>
      </w:pPr>
    </w:p>
    <w:p w14:paraId="34207CCF">
      <w:pPr>
        <w:rPr>
          <w:rFonts w:ascii="宋体" w:hAnsi="宋体" w:cs="宋体"/>
          <w:color w:val="000000" w:themeColor="text1"/>
          <w:kern w:val="2"/>
          <w:szCs w:val="24"/>
          <w:highlight w:val="none"/>
          <w14:textFill>
            <w14:solidFill>
              <w14:schemeClr w14:val="tx1"/>
            </w14:solidFill>
          </w14:textFill>
        </w:rPr>
      </w:pPr>
    </w:p>
    <w:p w14:paraId="2F221A04">
      <w:pPr>
        <w:rPr>
          <w:rFonts w:ascii="宋体" w:hAnsi="宋体" w:cs="宋体"/>
          <w:color w:val="000000" w:themeColor="text1"/>
          <w:kern w:val="2"/>
          <w:szCs w:val="24"/>
          <w:highlight w:val="none"/>
          <w14:textFill>
            <w14:solidFill>
              <w14:schemeClr w14:val="tx1"/>
            </w14:solidFill>
          </w14:textFill>
        </w:rPr>
      </w:pPr>
    </w:p>
    <w:p w14:paraId="5BE2C8ED">
      <w:pPr>
        <w:rPr>
          <w:rFonts w:ascii="宋体" w:hAnsi="宋体" w:cs="宋体"/>
          <w:color w:val="000000" w:themeColor="text1"/>
          <w:kern w:val="2"/>
          <w:szCs w:val="24"/>
          <w:highlight w:val="none"/>
          <w14:textFill>
            <w14:solidFill>
              <w14:schemeClr w14:val="tx1"/>
            </w14:solidFill>
          </w14:textFill>
        </w:rPr>
      </w:pPr>
    </w:p>
    <w:p w14:paraId="61D8A927">
      <w:pPr>
        <w:rPr>
          <w:rFonts w:ascii="宋体" w:hAnsi="宋体" w:cs="宋体"/>
          <w:color w:val="000000" w:themeColor="text1"/>
          <w:kern w:val="2"/>
          <w:szCs w:val="24"/>
          <w:highlight w:val="none"/>
          <w14:textFill>
            <w14:solidFill>
              <w14:schemeClr w14:val="tx1"/>
            </w14:solidFill>
          </w14:textFill>
        </w:rPr>
      </w:pPr>
    </w:p>
    <w:p w14:paraId="1D11EE56">
      <w:pPr>
        <w:rPr>
          <w:rFonts w:ascii="宋体" w:hAnsi="宋体" w:cs="宋体"/>
          <w:color w:val="000000" w:themeColor="text1"/>
          <w:kern w:val="2"/>
          <w:szCs w:val="24"/>
          <w:highlight w:val="none"/>
          <w14:textFill>
            <w14:solidFill>
              <w14:schemeClr w14:val="tx1"/>
            </w14:solidFill>
          </w14:textFill>
        </w:rPr>
      </w:pPr>
    </w:p>
    <w:p w14:paraId="6D801442">
      <w:pPr>
        <w:rPr>
          <w:rFonts w:ascii="宋体" w:hAnsi="宋体" w:cs="宋体"/>
          <w:color w:val="000000" w:themeColor="text1"/>
          <w:kern w:val="2"/>
          <w:szCs w:val="24"/>
          <w:highlight w:val="none"/>
          <w14:textFill>
            <w14:solidFill>
              <w14:schemeClr w14:val="tx1"/>
            </w14:solidFill>
          </w14:textFill>
        </w:rPr>
      </w:pPr>
    </w:p>
    <w:p w14:paraId="3117946C">
      <w:pPr>
        <w:rPr>
          <w:rFonts w:ascii="宋体" w:hAnsi="宋体" w:cs="宋体"/>
          <w:color w:val="000000" w:themeColor="text1"/>
          <w:highlight w:val="none"/>
          <w14:textFill>
            <w14:solidFill>
              <w14:schemeClr w14:val="tx1"/>
            </w14:solidFill>
          </w14:textFill>
        </w:rPr>
        <w:sectPr>
          <w:headerReference r:id="rId9" w:type="default"/>
          <w:footerReference r:id="rId10" w:type="default"/>
          <w:footnotePr>
            <w:numFmt w:val="decimalEnclosedCircleChinese"/>
            <w:numRestart w:val="eachPage"/>
          </w:footnotePr>
          <w:pgSz w:w="11907" w:h="16840"/>
          <w:pgMar w:top="1440" w:right="1080" w:bottom="1440" w:left="1080" w:header="851" w:footer="850" w:gutter="0"/>
          <w:pgNumType w:fmt="decimal" w:start="1"/>
          <w:cols w:space="720" w:num="1"/>
          <w:docGrid w:linePitch="312" w:charSpace="0"/>
        </w:sectPr>
      </w:pPr>
    </w:p>
    <w:p w14:paraId="518DDA1A">
      <w:pPr>
        <w:keepNext/>
        <w:keepLines/>
        <w:spacing w:before="240" w:after="240" w:line="360" w:lineRule="auto"/>
        <w:ind w:firstLine="640" w:firstLineChars="200"/>
        <w:jc w:val="center"/>
        <w:outlineLvl w:val="1"/>
        <w:rPr>
          <w:rFonts w:ascii="宋体" w:hAnsi="宋体" w:cs="宋体"/>
          <w:bCs/>
          <w:color w:val="000000" w:themeColor="text1"/>
          <w:kern w:val="44"/>
          <w:sz w:val="32"/>
          <w:szCs w:val="32"/>
          <w:highlight w:val="none"/>
          <w14:textFill>
            <w14:solidFill>
              <w14:schemeClr w14:val="tx1"/>
            </w14:solidFill>
          </w14:textFill>
        </w:rPr>
      </w:pPr>
      <w:r>
        <w:rPr>
          <w:rFonts w:hint="eastAsia" w:ascii="宋体" w:hAnsi="宋体" w:cs="宋体"/>
          <w:bCs/>
          <w:color w:val="000000" w:themeColor="text1"/>
          <w:kern w:val="44"/>
          <w:sz w:val="32"/>
          <w:szCs w:val="32"/>
          <w:highlight w:val="none"/>
          <w14:textFill>
            <w14:solidFill>
              <w14:schemeClr w14:val="tx1"/>
            </w14:solidFill>
          </w14:textFill>
        </w:rPr>
        <w:t>B. 项目专用合同条款</w:t>
      </w:r>
      <w:bookmarkEnd w:id="217"/>
      <w:bookmarkEnd w:id="218"/>
    </w:p>
    <w:p w14:paraId="382E27EC">
      <w:pPr>
        <w:pStyle w:val="8"/>
        <w:snapToGrid w:val="0"/>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  明：</w:t>
      </w:r>
    </w:p>
    <w:p w14:paraId="5457D5C9">
      <w:pPr>
        <w:pStyle w:val="8"/>
        <w:snapToGrid w:val="0"/>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招标人在根据《公路机电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14:paraId="0E81E1D9">
      <w:pPr>
        <w:pStyle w:val="8"/>
        <w:snapToGrid w:val="0"/>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2.项目专用合同条款的编号应与通用合同条款和公路工程专用合同条款一致。</w:t>
      </w:r>
    </w:p>
    <w:p w14:paraId="0F7B2E94">
      <w:pPr>
        <w:pStyle w:val="8"/>
        <w:snapToGrid w:val="0"/>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3.项目专用合同条款可对下列内容进行补充和细化：</w:t>
      </w:r>
    </w:p>
    <w:p w14:paraId="24FB52A5">
      <w:pPr>
        <w:pStyle w:val="8"/>
        <w:snapToGrid w:val="0"/>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610D984F">
      <w:pPr>
        <w:pStyle w:val="8"/>
        <w:snapToGrid w:val="0"/>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2C950034">
      <w:pPr>
        <w:pStyle w:val="8"/>
        <w:snapToGrid w:val="0"/>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（3）其他需要补充、细化的内容。</w:t>
      </w:r>
    </w:p>
    <w:p w14:paraId="04CE1FA7">
      <w:pPr>
        <w:pStyle w:val="8"/>
        <w:snapToGrid w:val="0"/>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招标人编制的项目专用合同条款应包含但不限于《公路机电工程标准施工招标文件》在本部分已提供的项目专用条款内容，且不得与其规定相抵触，同时不得违反法律、行政法规的强制性规定和平等、自愿、公平和诚实信用原则。</w:t>
      </w:r>
    </w:p>
    <w:p w14:paraId="443EDC6C">
      <w:pPr>
        <w:keepNext/>
        <w:keepLines/>
        <w:spacing w:before="240" w:after="240" w:line="400" w:lineRule="exact"/>
        <w:ind w:firstLine="562" w:firstLineChars="200"/>
        <w:jc w:val="center"/>
        <w:outlineLvl w:val="1"/>
        <w:rPr>
          <w:rFonts w:ascii="宋体" w:hAnsi="宋体" w:cs="宋体"/>
          <w:bCs/>
          <w:color w:val="000000" w:themeColor="text1"/>
          <w:kern w:val="44"/>
          <w:sz w:val="32"/>
          <w:szCs w:val="32"/>
          <w:highlight w:val="none"/>
          <w14:textFill>
            <w14:solidFill>
              <w14:schemeClr w14:val="tx1"/>
            </w14:solidFill>
          </w14:textFill>
        </w:rPr>
      </w:pPr>
      <w:r>
        <w:rPr>
          <w:rFonts w:hint="eastAsia" w:ascii="宋体" w:hAnsi="宋体" w:cs="宋体"/>
          <w:b/>
          <w:bCs/>
          <w:color w:val="000000" w:themeColor="text1"/>
          <w:kern w:val="44"/>
          <w:sz w:val="28"/>
          <w:szCs w:val="44"/>
          <w:highlight w:val="none"/>
          <w14:textFill>
            <w14:solidFill>
              <w14:schemeClr w14:val="tx1"/>
            </w14:solidFill>
          </w14:textFill>
        </w:rPr>
        <w:br w:type="page"/>
      </w:r>
      <w:bookmarkStart w:id="219" w:name="_Toc517787840"/>
      <w:bookmarkStart w:id="220" w:name="_Toc234833221"/>
      <w:r>
        <w:rPr>
          <w:rFonts w:hint="eastAsia" w:ascii="宋体" w:hAnsi="宋体" w:cs="宋体"/>
          <w:bCs/>
          <w:color w:val="000000" w:themeColor="text1"/>
          <w:kern w:val="44"/>
          <w:sz w:val="32"/>
          <w:szCs w:val="32"/>
          <w:highlight w:val="none"/>
          <w14:textFill>
            <w14:solidFill>
              <w14:schemeClr w14:val="tx1"/>
            </w14:solidFill>
          </w14:textFill>
        </w:rPr>
        <w:t>项目专用合同条款数据表</w:t>
      </w:r>
      <w:bookmarkEnd w:id="219"/>
      <w:bookmarkEnd w:id="220"/>
    </w:p>
    <w:p w14:paraId="3B87B95F">
      <w:pPr>
        <w:pStyle w:val="8"/>
        <w:snapToGrid w:val="0"/>
        <w:spacing w:after="0" w:line="400" w:lineRule="atLeast"/>
        <w:ind w:left="0" w:leftChars="0" w:firstLine="480" w:firstLineChars="200"/>
        <w:rPr>
          <w:rFonts w:ascii="宋体" w:hAnsi="宋体" w:cs="宋体"/>
          <w:color w:val="000000" w:themeColor="text1"/>
          <w:sz w:val="24"/>
          <w:highlight w:val="none"/>
          <w14:textFill>
            <w14:solidFill>
              <w14:schemeClr w14:val="tx1"/>
            </w14:solidFill>
          </w14:textFill>
        </w:rPr>
      </w:pPr>
      <w:bookmarkStart w:id="221" w:name="_Hlk178576450"/>
      <w:r>
        <w:rPr>
          <w:rFonts w:hint="eastAsia" w:ascii="宋体" w:hAnsi="宋体" w:cs="宋体"/>
          <w:color w:val="000000" w:themeColor="text1"/>
          <w:sz w:val="24"/>
          <w:highlight w:val="none"/>
          <w14:textFill>
            <w14:solidFill>
              <w14:schemeClr w14:val="tx1"/>
            </w14:solidFill>
          </w14:textFill>
        </w:rPr>
        <w:t>说明：本数据表是项目专用合同条款中适用于本项目的信息和数据的归纳与提示，是项目专用合同条款的组成部分。</w:t>
      </w:r>
    </w:p>
    <w:tbl>
      <w:tblPr>
        <w:tblStyle w:val="13"/>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589"/>
        <w:gridCol w:w="7371"/>
      </w:tblGrid>
      <w:tr w14:paraId="50B3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3" w:type="dxa"/>
            <w:noWrap/>
            <w:vAlign w:val="center"/>
          </w:tcPr>
          <w:p w14:paraId="7B0DF237">
            <w:pPr>
              <w:snapToGrid w:val="0"/>
              <w:spacing w:line="400" w:lineRule="exact"/>
              <w:jc w:val="center"/>
              <w:rPr>
                <w:rFonts w:ascii="宋体" w:hAnsi="宋体" w:cs="宋体"/>
                <w:b/>
                <w:color w:val="000000" w:themeColor="text1"/>
                <w:kern w:val="2"/>
                <w:szCs w:val="21"/>
                <w:highlight w:val="none"/>
                <w14:textFill>
                  <w14:solidFill>
                    <w14:schemeClr w14:val="tx1"/>
                  </w14:solidFill>
                </w14:textFill>
              </w:rPr>
            </w:pPr>
            <w:r>
              <w:rPr>
                <w:rFonts w:hint="eastAsia" w:ascii="宋体" w:hAnsi="宋体" w:cs="宋体"/>
                <w:b/>
                <w:color w:val="000000" w:themeColor="text1"/>
                <w:kern w:val="2"/>
                <w:szCs w:val="21"/>
                <w:highlight w:val="none"/>
                <w14:textFill>
                  <w14:solidFill>
                    <w14:schemeClr w14:val="tx1"/>
                  </w14:solidFill>
                </w14:textFill>
              </w:rPr>
              <w:t>序号</w:t>
            </w:r>
          </w:p>
        </w:tc>
        <w:tc>
          <w:tcPr>
            <w:tcW w:w="1589" w:type="dxa"/>
            <w:noWrap/>
            <w:vAlign w:val="center"/>
          </w:tcPr>
          <w:p w14:paraId="126110F9">
            <w:pPr>
              <w:snapToGrid w:val="0"/>
              <w:spacing w:line="400" w:lineRule="exact"/>
              <w:jc w:val="center"/>
              <w:rPr>
                <w:rFonts w:ascii="宋体" w:hAnsi="宋体" w:cs="宋体"/>
                <w:b/>
                <w:color w:val="000000" w:themeColor="text1"/>
                <w:kern w:val="2"/>
                <w:szCs w:val="21"/>
                <w:highlight w:val="none"/>
                <w14:textFill>
                  <w14:solidFill>
                    <w14:schemeClr w14:val="tx1"/>
                  </w14:solidFill>
                </w14:textFill>
              </w:rPr>
            </w:pPr>
            <w:r>
              <w:rPr>
                <w:rFonts w:hint="eastAsia" w:ascii="宋体" w:hAnsi="宋体" w:cs="宋体"/>
                <w:b/>
                <w:color w:val="000000" w:themeColor="text1"/>
                <w:kern w:val="2"/>
                <w:szCs w:val="21"/>
                <w:highlight w:val="none"/>
                <w14:textFill>
                  <w14:solidFill>
                    <w14:schemeClr w14:val="tx1"/>
                  </w14:solidFill>
                </w14:textFill>
              </w:rPr>
              <w:t>条目号</w:t>
            </w:r>
          </w:p>
        </w:tc>
        <w:tc>
          <w:tcPr>
            <w:tcW w:w="7371" w:type="dxa"/>
            <w:noWrap/>
            <w:vAlign w:val="center"/>
          </w:tcPr>
          <w:p w14:paraId="3E806186">
            <w:pPr>
              <w:snapToGrid w:val="0"/>
              <w:spacing w:line="400" w:lineRule="exact"/>
              <w:jc w:val="center"/>
              <w:rPr>
                <w:rFonts w:ascii="宋体" w:hAnsi="宋体" w:cs="宋体"/>
                <w:b/>
                <w:color w:val="000000" w:themeColor="text1"/>
                <w:kern w:val="2"/>
                <w:szCs w:val="21"/>
                <w:highlight w:val="none"/>
                <w14:textFill>
                  <w14:solidFill>
                    <w14:schemeClr w14:val="tx1"/>
                  </w14:solidFill>
                </w14:textFill>
              </w:rPr>
            </w:pPr>
            <w:r>
              <w:rPr>
                <w:rFonts w:hint="eastAsia" w:ascii="宋体" w:hAnsi="宋体" w:cs="宋体"/>
                <w:b/>
                <w:color w:val="000000" w:themeColor="text1"/>
                <w:kern w:val="2"/>
                <w:szCs w:val="21"/>
                <w:highlight w:val="none"/>
                <w14:textFill>
                  <w14:solidFill>
                    <w14:schemeClr w14:val="tx1"/>
                  </w14:solidFill>
                </w14:textFill>
              </w:rPr>
              <w:t>信息或数据</w:t>
            </w:r>
          </w:p>
        </w:tc>
      </w:tr>
      <w:tr w14:paraId="4600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ign w:val="center"/>
          </w:tcPr>
          <w:p w14:paraId="50AD8517">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w:t>
            </w:r>
          </w:p>
        </w:tc>
        <w:tc>
          <w:tcPr>
            <w:tcW w:w="1589" w:type="dxa"/>
            <w:noWrap/>
            <w:vAlign w:val="center"/>
          </w:tcPr>
          <w:p w14:paraId="3D15B432">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1.1.2.2</w:t>
            </w:r>
          </w:p>
        </w:tc>
        <w:tc>
          <w:tcPr>
            <w:tcW w:w="7371" w:type="dxa"/>
            <w:noWrap/>
            <w:vAlign w:val="center"/>
          </w:tcPr>
          <w:p w14:paraId="5C97D287">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发 包 人：宿迁市公路事业发展中心</w:t>
            </w:r>
          </w:p>
          <w:p w14:paraId="78414D85">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地    址：</w:t>
            </w:r>
            <w:r>
              <w:rPr>
                <w:rFonts w:hint="eastAsia" w:ascii="宋体" w:hAnsi="宋体" w:cs="宋体"/>
                <w:color w:val="000000" w:themeColor="text1"/>
                <w:kern w:val="2"/>
                <w:szCs w:val="21"/>
                <w:highlight w:val="none"/>
                <w:lang w:val="zh-CN"/>
                <w14:textFill>
                  <w14:solidFill>
                    <w14:schemeClr w14:val="tx1"/>
                  </w14:solidFill>
                </w14:textFill>
              </w:rPr>
              <w:t>宿迁市洪泽湖路1360号金桥商务大厦</w:t>
            </w:r>
          </w:p>
          <w:p w14:paraId="1F0789C1">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邮政编码：223800</w:t>
            </w:r>
          </w:p>
          <w:p w14:paraId="33E33DBB">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管理人：宿迁市交通运输综合行政执法支队</w:t>
            </w:r>
          </w:p>
          <w:p w14:paraId="0448D3A8">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地    址：</w:t>
            </w:r>
            <w:r>
              <w:rPr>
                <w:rFonts w:hint="eastAsia" w:ascii="宋体" w:hAnsi="宋体" w:cs="宋体"/>
                <w:color w:val="000000" w:themeColor="text1"/>
                <w:kern w:val="2"/>
                <w:szCs w:val="21"/>
                <w:highlight w:val="none"/>
                <w:lang w:val="zh-CN"/>
                <w14:textFill>
                  <w14:solidFill>
                    <w14:schemeClr w14:val="tx1"/>
                  </w14:solidFill>
                </w14:textFill>
              </w:rPr>
              <w:t>宿迁市洪泽湖路1360号金桥商务大厦</w:t>
            </w:r>
          </w:p>
          <w:p w14:paraId="49B2ED03">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邮政编码：223800</w:t>
            </w:r>
          </w:p>
        </w:tc>
      </w:tr>
      <w:tr w14:paraId="66E1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ign w:val="center"/>
          </w:tcPr>
          <w:p w14:paraId="5BB92768">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w:t>
            </w:r>
          </w:p>
        </w:tc>
        <w:tc>
          <w:tcPr>
            <w:tcW w:w="1589" w:type="dxa"/>
            <w:noWrap/>
            <w:vAlign w:val="center"/>
          </w:tcPr>
          <w:p w14:paraId="541FE6DE">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1.1.2.6</w:t>
            </w:r>
          </w:p>
        </w:tc>
        <w:tc>
          <w:tcPr>
            <w:tcW w:w="7371" w:type="dxa"/>
            <w:noWrap/>
            <w:vAlign w:val="center"/>
          </w:tcPr>
          <w:p w14:paraId="1FDA3E1D">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 xml:space="preserve">监 理 人：              </w:t>
            </w:r>
          </w:p>
          <w:p w14:paraId="172D3BBD">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 xml:space="preserve">地    址：                   邮政编码： </w:t>
            </w:r>
          </w:p>
        </w:tc>
      </w:tr>
      <w:tr w14:paraId="52C3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ign w:val="center"/>
          </w:tcPr>
          <w:p w14:paraId="3AE4B94A">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3</w:t>
            </w:r>
          </w:p>
        </w:tc>
        <w:tc>
          <w:tcPr>
            <w:tcW w:w="1589" w:type="dxa"/>
            <w:noWrap/>
            <w:vAlign w:val="center"/>
          </w:tcPr>
          <w:p w14:paraId="72B8A1C2">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1.1.4.5</w:t>
            </w:r>
          </w:p>
        </w:tc>
        <w:tc>
          <w:tcPr>
            <w:tcW w:w="7371" w:type="dxa"/>
            <w:noWrap/>
            <w:vAlign w:val="center"/>
          </w:tcPr>
          <w:p w14:paraId="277A2D91">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缺陷责任期：自工程实际交工日期起计算</w:t>
            </w:r>
            <w:r>
              <w:rPr>
                <w:rFonts w:hint="eastAsia" w:ascii="宋体" w:hAnsi="宋体" w:cs="宋体"/>
                <w:color w:val="000000" w:themeColor="text1"/>
                <w:kern w:val="2"/>
                <w:szCs w:val="21"/>
                <w:highlight w:val="none"/>
                <w:u w:val="single"/>
                <w14:textFill>
                  <w14:solidFill>
                    <w14:schemeClr w14:val="tx1"/>
                  </w14:solidFill>
                </w14:textFill>
              </w:rPr>
              <w:t>2</w:t>
            </w:r>
            <w:r>
              <w:rPr>
                <w:rFonts w:hint="eastAsia" w:ascii="宋体" w:hAnsi="宋体" w:cs="宋体"/>
                <w:color w:val="000000" w:themeColor="text1"/>
                <w:kern w:val="2"/>
                <w:szCs w:val="21"/>
                <w:highlight w:val="none"/>
                <w14:textFill>
                  <w14:solidFill>
                    <w14:schemeClr w14:val="tx1"/>
                  </w14:solidFill>
                </w14:textFill>
              </w:rPr>
              <w:t>年</w:t>
            </w:r>
          </w:p>
        </w:tc>
      </w:tr>
      <w:tr w14:paraId="7E03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ign w:val="center"/>
          </w:tcPr>
          <w:p w14:paraId="70C1E14C">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4</w:t>
            </w:r>
          </w:p>
        </w:tc>
        <w:tc>
          <w:tcPr>
            <w:tcW w:w="1589" w:type="dxa"/>
            <w:noWrap/>
            <w:vAlign w:val="center"/>
          </w:tcPr>
          <w:p w14:paraId="513515BC">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1.6.3</w:t>
            </w:r>
          </w:p>
        </w:tc>
        <w:tc>
          <w:tcPr>
            <w:tcW w:w="7371" w:type="dxa"/>
            <w:noWrap/>
            <w:vAlign w:val="center"/>
          </w:tcPr>
          <w:p w14:paraId="1C89720D">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图纸需要修改和补充的，应由监理人取得发包人同意后，在该工程或工程相应部位施工前</w:t>
            </w:r>
            <w:r>
              <w:rPr>
                <w:rFonts w:hint="eastAsia" w:ascii="宋体" w:hAnsi="宋体" w:cs="宋体"/>
                <w:color w:val="000000" w:themeColor="text1"/>
                <w:kern w:val="2"/>
                <w:szCs w:val="21"/>
                <w:highlight w:val="none"/>
                <w:u w:val="single"/>
                <w14:textFill>
                  <w14:solidFill>
                    <w14:schemeClr w14:val="tx1"/>
                  </w14:solidFill>
                </w14:textFill>
              </w:rPr>
              <w:t xml:space="preserve">  7   </w:t>
            </w:r>
            <w:r>
              <w:rPr>
                <w:rFonts w:hint="eastAsia" w:ascii="宋体" w:hAnsi="宋体" w:cs="宋体"/>
                <w:color w:val="000000" w:themeColor="text1"/>
                <w:kern w:val="2"/>
                <w:szCs w:val="21"/>
                <w:highlight w:val="none"/>
                <w14:textFill>
                  <w14:solidFill>
                    <w14:schemeClr w14:val="tx1"/>
                  </w14:solidFill>
                </w14:textFill>
              </w:rPr>
              <w:t>天签发图纸修改图给承包人</w:t>
            </w:r>
          </w:p>
        </w:tc>
      </w:tr>
      <w:tr w14:paraId="530B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ign w:val="center"/>
          </w:tcPr>
          <w:p w14:paraId="63221858">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5</w:t>
            </w:r>
          </w:p>
        </w:tc>
        <w:tc>
          <w:tcPr>
            <w:tcW w:w="1589" w:type="dxa"/>
            <w:noWrap/>
            <w:vAlign w:val="center"/>
          </w:tcPr>
          <w:p w14:paraId="0915C285">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3.1.1</w:t>
            </w:r>
          </w:p>
        </w:tc>
        <w:tc>
          <w:tcPr>
            <w:tcW w:w="7371" w:type="dxa"/>
            <w:noWrap/>
            <w:vAlign w:val="center"/>
          </w:tcPr>
          <w:p w14:paraId="2BBFFC41">
            <w:pPr>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监理人在行使下列权力前需要经发包人事先批准：</w:t>
            </w:r>
          </w:p>
          <w:p w14:paraId="3678428D">
            <w:pPr>
              <w:snapToGrid w:val="0"/>
              <w:spacing w:line="400" w:lineRule="exact"/>
              <w:rPr>
                <w:rFonts w:ascii="宋体" w:hAnsi="宋体" w:cs="宋体"/>
                <w:color w:val="000000" w:themeColor="text1"/>
                <w:spacing w:val="-6"/>
                <w:kern w:val="2"/>
                <w:szCs w:val="21"/>
                <w:highlight w:val="none"/>
                <w14:textFill>
                  <w14:solidFill>
                    <w14:schemeClr w14:val="tx1"/>
                  </w14:solidFill>
                </w14:textFill>
              </w:rPr>
            </w:pPr>
            <w:r>
              <w:rPr>
                <w:rFonts w:hint="eastAsia" w:ascii="宋体" w:hAnsi="宋体" w:cs="宋体"/>
                <w:color w:val="000000" w:themeColor="text1"/>
                <w:spacing w:val="-6"/>
                <w:kern w:val="2"/>
                <w:szCs w:val="21"/>
                <w:highlight w:val="none"/>
                <w14:textFill>
                  <w14:solidFill>
                    <w14:schemeClr w14:val="tx1"/>
                  </w14:solidFill>
                </w14:textFill>
              </w:rPr>
              <w:t>（6）根据第15.3款发出的变更指示，均需要经发包人事先批准</w:t>
            </w:r>
          </w:p>
        </w:tc>
      </w:tr>
      <w:tr w14:paraId="35AA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noWrap/>
            <w:vAlign w:val="center"/>
          </w:tcPr>
          <w:p w14:paraId="7DDD3E17">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6</w:t>
            </w:r>
          </w:p>
        </w:tc>
        <w:tc>
          <w:tcPr>
            <w:tcW w:w="1589" w:type="dxa"/>
            <w:noWrap/>
            <w:vAlign w:val="center"/>
          </w:tcPr>
          <w:p w14:paraId="569A4B95">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5.2.1</w:t>
            </w:r>
          </w:p>
        </w:tc>
        <w:tc>
          <w:tcPr>
            <w:tcW w:w="7371" w:type="dxa"/>
            <w:tcBorders>
              <w:bottom w:val="single" w:color="auto" w:sz="4" w:space="0"/>
            </w:tcBorders>
            <w:noWrap/>
            <w:vAlign w:val="center"/>
          </w:tcPr>
          <w:p w14:paraId="3891F980">
            <w:pPr>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发包人是否提供材料或工程设备：</w:t>
            </w:r>
            <w:r>
              <w:rPr>
                <w:rFonts w:hint="eastAsia" w:ascii="宋体" w:hAnsi="宋体" w:cs="宋体"/>
                <w:color w:val="000000" w:themeColor="text1"/>
                <w:kern w:val="2"/>
                <w:sz w:val="32"/>
                <w:szCs w:val="24"/>
                <w:highlight w:val="none"/>
                <w14:textFill>
                  <w14:solidFill>
                    <w14:schemeClr w14:val="tx1"/>
                  </w14:solidFill>
                </w14:textFill>
              </w:rPr>
              <w:t>□</w:t>
            </w:r>
            <w:r>
              <w:rPr>
                <w:rFonts w:hint="eastAsia" w:ascii="宋体" w:hAnsi="宋体" w:cs="宋体"/>
                <w:color w:val="000000" w:themeColor="text1"/>
                <w:kern w:val="2"/>
                <w:szCs w:val="21"/>
                <w:highlight w:val="none"/>
                <w14:textFill>
                  <w14:solidFill>
                    <w14:schemeClr w14:val="tx1"/>
                  </w14:solidFill>
                </w14:textFill>
              </w:rPr>
              <w:t xml:space="preserve">是 </w:t>
            </w:r>
            <w:r>
              <w:rPr>
                <w:rFonts w:hint="eastAsia" w:ascii="宋体" w:hAnsi="宋体" w:cs="宋体"/>
                <w:color w:val="000000" w:themeColor="text1"/>
                <w:kern w:val="2"/>
                <w:sz w:val="32"/>
                <w:szCs w:val="24"/>
                <w:highlight w:val="none"/>
                <w14:textFill>
                  <w14:solidFill>
                    <w14:schemeClr w14:val="tx1"/>
                  </w14:solidFill>
                </w14:textFill>
              </w:rPr>
              <w:sym w:font="Wingdings 2" w:char="0052"/>
            </w:r>
            <w:r>
              <w:rPr>
                <w:rFonts w:hint="eastAsia" w:ascii="宋体" w:hAnsi="宋体" w:cs="宋体"/>
                <w:color w:val="000000" w:themeColor="text1"/>
                <w:kern w:val="2"/>
                <w:szCs w:val="21"/>
                <w:highlight w:val="none"/>
                <w14:textFill>
                  <w14:solidFill>
                    <w14:schemeClr w14:val="tx1"/>
                  </w14:solidFill>
                </w14:textFill>
              </w:rPr>
              <w:t>否</w:t>
            </w:r>
          </w:p>
          <w:p w14:paraId="17858A3E">
            <w:pPr>
              <w:spacing w:line="400" w:lineRule="exact"/>
              <w:rPr>
                <w:rFonts w:ascii="宋体" w:hAnsi="宋体" w:cs="宋体"/>
                <w:color w:val="000000" w:themeColor="text1"/>
                <w:kern w:val="2"/>
                <w:szCs w:val="21"/>
                <w:highlight w:val="none"/>
                <w:u w:val="singl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如发包人负责提供部分材料或工程设备，相关规定为：</w:t>
            </w:r>
            <w:r>
              <w:rPr>
                <w:rFonts w:hint="eastAsia" w:ascii="宋体" w:hAnsi="宋体" w:cs="宋体"/>
                <w:color w:val="000000" w:themeColor="text1"/>
                <w:kern w:val="2"/>
                <w:szCs w:val="21"/>
                <w:highlight w:val="none"/>
                <w:u w:val="single"/>
                <w14:textFill>
                  <w14:solidFill>
                    <w14:schemeClr w14:val="tx1"/>
                  </w14:solidFill>
                </w14:textFill>
              </w:rPr>
              <w:t xml:space="preserve">       /         </w:t>
            </w:r>
          </w:p>
        </w:tc>
      </w:tr>
      <w:tr w14:paraId="527D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noWrap/>
            <w:vAlign w:val="center"/>
          </w:tcPr>
          <w:p w14:paraId="28C1CF28">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7</w:t>
            </w:r>
          </w:p>
        </w:tc>
        <w:tc>
          <w:tcPr>
            <w:tcW w:w="1589" w:type="dxa"/>
            <w:noWrap/>
            <w:vAlign w:val="center"/>
          </w:tcPr>
          <w:p w14:paraId="0F8552EB">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6.2</w:t>
            </w:r>
          </w:p>
        </w:tc>
        <w:tc>
          <w:tcPr>
            <w:tcW w:w="7371" w:type="dxa"/>
            <w:tcBorders>
              <w:bottom w:val="single" w:color="auto" w:sz="4" w:space="0"/>
            </w:tcBorders>
            <w:noWrap/>
            <w:vAlign w:val="center"/>
          </w:tcPr>
          <w:p w14:paraId="034F6A78">
            <w:pPr>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发包人是否提供施工设备和临时设施：</w:t>
            </w:r>
            <w:r>
              <w:rPr>
                <w:rFonts w:hint="eastAsia" w:ascii="宋体" w:hAnsi="宋体" w:cs="宋体"/>
                <w:color w:val="000000" w:themeColor="text1"/>
                <w:kern w:val="2"/>
                <w:sz w:val="32"/>
                <w:szCs w:val="24"/>
                <w:highlight w:val="none"/>
                <w14:textFill>
                  <w14:solidFill>
                    <w14:schemeClr w14:val="tx1"/>
                  </w14:solidFill>
                </w14:textFill>
              </w:rPr>
              <w:t>□</w:t>
            </w:r>
            <w:r>
              <w:rPr>
                <w:rFonts w:hint="eastAsia" w:ascii="宋体" w:hAnsi="宋体" w:cs="宋体"/>
                <w:color w:val="000000" w:themeColor="text1"/>
                <w:kern w:val="2"/>
                <w:szCs w:val="21"/>
                <w:highlight w:val="none"/>
                <w14:textFill>
                  <w14:solidFill>
                    <w14:schemeClr w14:val="tx1"/>
                  </w14:solidFill>
                </w14:textFill>
              </w:rPr>
              <w:t xml:space="preserve">是 </w:t>
            </w:r>
            <w:r>
              <w:rPr>
                <w:rFonts w:hint="eastAsia" w:ascii="宋体" w:hAnsi="宋体" w:cs="宋体"/>
                <w:color w:val="000000" w:themeColor="text1"/>
                <w:kern w:val="2"/>
                <w:sz w:val="32"/>
                <w:szCs w:val="24"/>
                <w:highlight w:val="none"/>
                <w14:textFill>
                  <w14:solidFill>
                    <w14:schemeClr w14:val="tx1"/>
                  </w14:solidFill>
                </w14:textFill>
              </w:rPr>
              <w:sym w:font="Wingdings 2" w:char="0052"/>
            </w:r>
            <w:r>
              <w:rPr>
                <w:rFonts w:hint="eastAsia" w:ascii="宋体" w:hAnsi="宋体" w:cs="宋体"/>
                <w:color w:val="000000" w:themeColor="text1"/>
                <w:kern w:val="2"/>
                <w:szCs w:val="21"/>
                <w:highlight w:val="none"/>
                <w14:textFill>
                  <w14:solidFill>
                    <w14:schemeClr w14:val="tx1"/>
                  </w14:solidFill>
                </w14:textFill>
              </w:rPr>
              <w:t>否</w:t>
            </w:r>
          </w:p>
          <w:p w14:paraId="006A8562">
            <w:pPr>
              <w:spacing w:line="400" w:lineRule="exact"/>
              <w:rPr>
                <w:rFonts w:ascii="宋体" w:hAnsi="宋体" w:cs="宋体"/>
                <w:color w:val="000000" w:themeColor="text1"/>
                <w:kern w:val="2"/>
                <w:szCs w:val="21"/>
                <w:highlight w:val="none"/>
                <w:u w:val="singl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如发包人负责提供部分施工设备和临时设施，相关规定为：</w:t>
            </w:r>
            <w:r>
              <w:rPr>
                <w:rFonts w:hint="eastAsia" w:ascii="宋体" w:hAnsi="宋体" w:cs="宋体"/>
                <w:color w:val="000000" w:themeColor="text1"/>
                <w:kern w:val="2"/>
                <w:szCs w:val="21"/>
                <w:highlight w:val="none"/>
                <w:u w:val="single"/>
                <w14:textFill>
                  <w14:solidFill>
                    <w14:schemeClr w14:val="tx1"/>
                  </w14:solidFill>
                </w14:textFill>
              </w:rPr>
              <w:t xml:space="preserve">     /         </w:t>
            </w:r>
          </w:p>
        </w:tc>
      </w:tr>
      <w:tr w14:paraId="19CB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noWrap/>
            <w:vAlign w:val="center"/>
          </w:tcPr>
          <w:p w14:paraId="5DFF818C">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8</w:t>
            </w:r>
          </w:p>
        </w:tc>
        <w:tc>
          <w:tcPr>
            <w:tcW w:w="1589" w:type="dxa"/>
            <w:noWrap/>
            <w:vAlign w:val="center"/>
          </w:tcPr>
          <w:p w14:paraId="75D63A49">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8.1.1</w:t>
            </w:r>
          </w:p>
        </w:tc>
        <w:tc>
          <w:tcPr>
            <w:tcW w:w="7371" w:type="dxa"/>
            <w:tcBorders>
              <w:bottom w:val="single" w:color="auto" w:sz="4" w:space="0"/>
            </w:tcBorders>
            <w:noWrap/>
            <w:vAlign w:val="center"/>
          </w:tcPr>
          <w:p w14:paraId="5153343D">
            <w:pPr>
              <w:spacing w:line="400" w:lineRule="exact"/>
              <w:rPr>
                <w:rFonts w:ascii="宋体" w:hAnsi="宋体" w:cs="宋体"/>
                <w:color w:val="000000" w:themeColor="text1"/>
                <w:kern w:val="2"/>
                <w:szCs w:val="21"/>
                <w:highlight w:val="none"/>
                <w:u w:val="singl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发包人提供测量基准点、基准线和水准点及其书面资料的期限：</w:t>
            </w:r>
            <w:r>
              <w:rPr>
                <w:rFonts w:hint="eastAsia" w:ascii="宋体" w:hAnsi="宋体" w:cs="宋体"/>
                <w:color w:val="000000" w:themeColor="text1"/>
                <w:kern w:val="2"/>
                <w:szCs w:val="21"/>
                <w:highlight w:val="none"/>
                <w:u w:val="single"/>
                <w14:textFill>
                  <w14:solidFill>
                    <w14:schemeClr w14:val="tx1"/>
                  </w14:solidFill>
                </w14:textFill>
              </w:rPr>
              <w:t xml:space="preserve">     /       </w:t>
            </w:r>
          </w:p>
          <w:p w14:paraId="34F5DF27">
            <w:pPr>
              <w:spacing w:line="400" w:lineRule="exact"/>
              <w:rPr>
                <w:rFonts w:ascii="宋体" w:hAnsi="宋体" w:cs="宋体"/>
                <w:color w:val="000000" w:themeColor="text1"/>
                <w:kern w:val="2"/>
                <w:szCs w:val="21"/>
                <w:highlight w:val="none"/>
                <w:u w:val="singl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承包人将施工控制网资料报送监理人审批的期限：</w:t>
            </w:r>
            <w:r>
              <w:rPr>
                <w:rFonts w:hint="eastAsia" w:ascii="宋体" w:hAnsi="宋体" w:cs="宋体"/>
                <w:color w:val="000000" w:themeColor="text1"/>
                <w:kern w:val="2"/>
                <w:szCs w:val="21"/>
                <w:highlight w:val="none"/>
                <w:u w:val="single"/>
                <w14:textFill>
                  <w14:solidFill>
                    <w14:schemeClr w14:val="tx1"/>
                  </w14:solidFill>
                </w14:textFill>
              </w:rPr>
              <w:t xml:space="preserve">    /    </w:t>
            </w:r>
          </w:p>
        </w:tc>
      </w:tr>
      <w:tr w14:paraId="6FF4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ign w:val="center"/>
          </w:tcPr>
          <w:p w14:paraId="3F745116">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9</w:t>
            </w:r>
          </w:p>
        </w:tc>
        <w:tc>
          <w:tcPr>
            <w:tcW w:w="1589" w:type="dxa"/>
            <w:noWrap/>
            <w:vAlign w:val="center"/>
          </w:tcPr>
          <w:p w14:paraId="011D5873">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11.5（3）</w:t>
            </w:r>
          </w:p>
        </w:tc>
        <w:tc>
          <w:tcPr>
            <w:tcW w:w="7371" w:type="dxa"/>
            <w:noWrap/>
            <w:vAlign w:val="center"/>
          </w:tcPr>
          <w:p w14:paraId="2542EEEA">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逾期交工违约金：</w:t>
            </w:r>
            <w:r>
              <w:rPr>
                <w:rFonts w:hint="eastAsia" w:ascii="宋体" w:hAnsi="宋体" w:cs="宋体"/>
                <w:color w:val="000000" w:themeColor="text1"/>
                <w:kern w:val="2"/>
                <w:szCs w:val="21"/>
                <w:highlight w:val="none"/>
                <w:u w:val="single"/>
                <w14:textFill>
                  <w14:solidFill>
                    <w14:schemeClr w14:val="tx1"/>
                  </w14:solidFill>
                </w14:textFill>
              </w:rPr>
              <w:t xml:space="preserve"> 5000   </w:t>
            </w:r>
            <w:r>
              <w:rPr>
                <w:rFonts w:hint="eastAsia" w:ascii="宋体" w:hAnsi="宋体" w:cs="宋体"/>
                <w:color w:val="000000" w:themeColor="text1"/>
                <w:kern w:val="2"/>
                <w:szCs w:val="21"/>
                <w:highlight w:val="none"/>
                <w14:textFill>
                  <w14:solidFill>
                    <w14:schemeClr w14:val="tx1"/>
                  </w14:solidFill>
                </w14:textFill>
              </w:rPr>
              <w:t>元/天</w:t>
            </w:r>
          </w:p>
        </w:tc>
      </w:tr>
      <w:tr w14:paraId="395C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ign w:val="center"/>
          </w:tcPr>
          <w:p w14:paraId="33926FB1">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10</w:t>
            </w:r>
          </w:p>
        </w:tc>
        <w:tc>
          <w:tcPr>
            <w:tcW w:w="1589" w:type="dxa"/>
            <w:noWrap/>
            <w:vAlign w:val="center"/>
          </w:tcPr>
          <w:p w14:paraId="2771938C">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11.5（3）</w:t>
            </w:r>
          </w:p>
        </w:tc>
        <w:tc>
          <w:tcPr>
            <w:tcW w:w="7371" w:type="dxa"/>
            <w:noWrap/>
            <w:vAlign w:val="center"/>
          </w:tcPr>
          <w:p w14:paraId="4F45887D">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逾期交工违约金限额：</w:t>
            </w:r>
            <w:r>
              <w:rPr>
                <w:rFonts w:hint="eastAsia" w:ascii="宋体" w:hAnsi="宋体" w:cs="宋体"/>
                <w:color w:val="000000" w:themeColor="text1"/>
                <w:kern w:val="2"/>
                <w:szCs w:val="21"/>
                <w:highlight w:val="none"/>
                <w:u w:val="single"/>
                <w14:textFill>
                  <w14:solidFill>
                    <w14:schemeClr w14:val="tx1"/>
                  </w14:solidFill>
                </w14:textFill>
              </w:rPr>
              <w:t xml:space="preserve">  10  </w:t>
            </w:r>
            <w:r>
              <w:rPr>
                <w:rFonts w:hint="eastAsia" w:ascii="宋体" w:hAnsi="宋体" w:cs="宋体"/>
                <w:color w:val="000000" w:themeColor="text1"/>
                <w:kern w:val="2"/>
                <w:szCs w:val="21"/>
                <w:highlight w:val="none"/>
                <w14:textFill>
                  <w14:solidFill>
                    <w14:schemeClr w14:val="tx1"/>
                  </w14:solidFill>
                </w14:textFill>
              </w:rPr>
              <w:t>%签约合同价</w:t>
            </w:r>
          </w:p>
        </w:tc>
      </w:tr>
      <w:tr w14:paraId="19A7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ign w:val="center"/>
          </w:tcPr>
          <w:p w14:paraId="1FD960EF">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w:t>
            </w:r>
          </w:p>
        </w:tc>
        <w:tc>
          <w:tcPr>
            <w:tcW w:w="1589" w:type="dxa"/>
            <w:noWrap/>
            <w:vAlign w:val="center"/>
          </w:tcPr>
          <w:p w14:paraId="1C276249">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11.6</w:t>
            </w:r>
          </w:p>
        </w:tc>
        <w:tc>
          <w:tcPr>
            <w:tcW w:w="7371" w:type="dxa"/>
            <w:noWrap/>
            <w:vAlign w:val="center"/>
          </w:tcPr>
          <w:p w14:paraId="11C9E299">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提前交工的奖金：</w:t>
            </w:r>
            <w:r>
              <w:rPr>
                <w:rFonts w:hint="eastAsia" w:ascii="宋体" w:hAnsi="宋体" w:cs="宋体"/>
                <w:color w:val="000000" w:themeColor="text1"/>
                <w:kern w:val="2"/>
                <w:szCs w:val="21"/>
                <w:highlight w:val="none"/>
                <w:u w:val="single"/>
                <w14:textFill>
                  <w14:solidFill>
                    <w14:schemeClr w14:val="tx1"/>
                  </w14:solidFill>
                </w14:textFill>
              </w:rPr>
              <w:t xml:space="preserve"> /   </w:t>
            </w:r>
            <w:r>
              <w:rPr>
                <w:rFonts w:hint="eastAsia" w:ascii="宋体" w:hAnsi="宋体" w:cs="宋体"/>
                <w:color w:val="000000" w:themeColor="text1"/>
                <w:kern w:val="2"/>
                <w:szCs w:val="21"/>
                <w:highlight w:val="none"/>
                <w14:textFill>
                  <w14:solidFill>
                    <w14:schemeClr w14:val="tx1"/>
                  </w14:solidFill>
                </w14:textFill>
              </w:rPr>
              <w:t>元/天</w:t>
            </w:r>
          </w:p>
        </w:tc>
      </w:tr>
      <w:tr w14:paraId="046C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ign w:val="center"/>
          </w:tcPr>
          <w:p w14:paraId="078416E4">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12</w:t>
            </w:r>
          </w:p>
        </w:tc>
        <w:tc>
          <w:tcPr>
            <w:tcW w:w="1589" w:type="dxa"/>
            <w:noWrap/>
            <w:vAlign w:val="center"/>
          </w:tcPr>
          <w:p w14:paraId="56C0DB92">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11.6</w:t>
            </w:r>
          </w:p>
        </w:tc>
        <w:tc>
          <w:tcPr>
            <w:tcW w:w="7371" w:type="dxa"/>
            <w:noWrap/>
            <w:vAlign w:val="center"/>
          </w:tcPr>
          <w:p w14:paraId="1BB60171">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提前交工的奖金限额：</w:t>
            </w:r>
            <w:r>
              <w:rPr>
                <w:rFonts w:hint="eastAsia" w:ascii="宋体" w:hAnsi="宋体" w:cs="宋体"/>
                <w:color w:val="000000" w:themeColor="text1"/>
                <w:kern w:val="2"/>
                <w:szCs w:val="21"/>
                <w:highlight w:val="none"/>
                <w:u w:val="single"/>
                <w14:textFill>
                  <w14:solidFill>
                    <w14:schemeClr w14:val="tx1"/>
                  </w14:solidFill>
                </w14:textFill>
              </w:rPr>
              <w:t xml:space="preserve">  /   </w:t>
            </w:r>
            <w:r>
              <w:rPr>
                <w:rFonts w:hint="eastAsia" w:ascii="宋体" w:hAnsi="宋体" w:cs="宋体"/>
                <w:color w:val="000000" w:themeColor="text1"/>
                <w:kern w:val="2"/>
                <w:szCs w:val="21"/>
                <w:highlight w:val="none"/>
                <w14:textFill>
                  <w14:solidFill>
                    <w14:schemeClr w14:val="tx1"/>
                  </w14:solidFill>
                </w14:textFill>
              </w:rPr>
              <w:t>%签约合同价</w:t>
            </w:r>
          </w:p>
        </w:tc>
      </w:tr>
      <w:tr w14:paraId="53A4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ign w:val="center"/>
          </w:tcPr>
          <w:p w14:paraId="07607733">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13</w:t>
            </w:r>
          </w:p>
        </w:tc>
        <w:tc>
          <w:tcPr>
            <w:tcW w:w="1589" w:type="dxa"/>
            <w:noWrap/>
            <w:vAlign w:val="center"/>
          </w:tcPr>
          <w:p w14:paraId="5DBF7175">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15.5.2</w:t>
            </w:r>
          </w:p>
        </w:tc>
        <w:tc>
          <w:tcPr>
            <w:tcW w:w="7371" w:type="dxa"/>
            <w:noWrap/>
            <w:vAlign w:val="center"/>
          </w:tcPr>
          <w:p w14:paraId="4A661D7D">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承包人提出的合理化建议降低了合同价格或者提高了工程经济效益的，发包人按所节约成本的</w:t>
            </w:r>
            <w:r>
              <w:rPr>
                <w:rFonts w:hint="eastAsia" w:ascii="宋体" w:hAnsi="宋体" w:cs="宋体"/>
                <w:color w:val="000000" w:themeColor="text1"/>
                <w:kern w:val="2"/>
                <w:szCs w:val="21"/>
                <w:highlight w:val="none"/>
                <w:u w:val="single"/>
                <w14:textFill>
                  <w14:solidFill>
                    <w14:schemeClr w14:val="tx1"/>
                  </w14:solidFill>
                </w14:textFill>
              </w:rPr>
              <w:t xml:space="preserve">   /  </w:t>
            </w:r>
            <w:r>
              <w:rPr>
                <w:rFonts w:hint="eastAsia" w:ascii="宋体" w:hAnsi="宋体" w:cs="宋体"/>
                <w:color w:val="000000" w:themeColor="text1"/>
                <w:kern w:val="2"/>
                <w:szCs w:val="21"/>
                <w:highlight w:val="none"/>
                <w14:textFill>
                  <w14:solidFill>
                    <w14:schemeClr w14:val="tx1"/>
                  </w14:solidFill>
                </w14:textFill>
              </w:rPr>
              <w:t>%或增加收益的</w:t>
            </w:r>
            <w:r>
              <w:rPr>
                <w:rFonts w:hint="eastAsia" w:ascii="宋体" w:hAnsi="宋体" w:cs="宋体"/>
                <w:color w:val="000000" w:themeColor="text1"/>
                <w:kern w:val="2"/>
                <w:szCs w:val="21"/>
                <w:highlight w:val="none"/>
                <w:u w:val="single"/>
                <w14:textFill>
                  <w14:solidFill>
                    <w14:schemeClr w14:val="tx1"/>
                  </w14:solidFill>
                </w14:textFill>
              </w:rPr>
              <w:t xml:space="preserve">  /  </w:t>
            </w:r>
            <w:r>
              <w:rPr>
                <w:rFonts w:hint="eastAsia" w:ascii="宋体" w:hAnsi="宋体" w:cs="宋体"/>
                <w:color w:val="000000" w:themeColor="text1"/>
                <w:kern w:val="2"/>
                <w:szCs w:val="21"/>
                <w:highlight w:val="none"/>
                <w14:textFill>
                  <w14:solidFill>
                    <w14:schemeClr w14:val="tx1"/>
                  </w14:solidFill>
                </w14:textFill>
              </w:rPr>
              <w:t>%给予奖励</w:t>
            </w:r>
          </w:p>
        </w:tc>
      </w:tr>
      <w:tr w14:paraId="0BF5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ign w:val="center"/>
          </w:tcPr>
          <w:p w14:paraId="60876552">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14</w:t>
            </w:r>
          </w:p>
        </w:tc>
        <w:tc>
          <w:tcPr>
            <w:tcW w:w="1589" w:type="dxa"/>
            <w:noWrap/>
            <w:vAlign w:val="center"/>
          </w:tcPr>
          <w:p w14:paraId="2706E790">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16.1</w:t>
            </w:r>
          </w:p>
        </w:tc>
        <w:tc>
          <w:tcPr>
            <w:tcW w:w="7371" w:type="dxa"/>
            <w:noWrap/>
            <w:vAlign w:val="center"/>
          </w:tcPr>
          <w:p w14:paraId="7DBF8E50">
            <w:pPr>
              <w:snapToGrid w:val="0"/>
              <w:spacing w:line="400" w:lineRule="exact"/>
              <w:jc w:val="lef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合同期内不调价</w:t>
            </w:r>
          </w:p>
        </w:tc>
      </w:tr>
      <w:tr w14:paraId="5346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ign w:val="center"/>
          </w:tcPr>
          <w:p w14:paraId="02611E37">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15</w:t>
            </w:r>
          </w:p>
        </w:tc>
        <w:tc>
          <w:tcPr>
            <w:tcW w:w="1589" w:type="dxa"/>
            <w:noWrap/>
            <w:vAlign w:val="center"/>
          </w:tcPr>
          <w:p w14:paraId="03873BD2">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17.2.1（1）</w:t>
            </w:r>
          </w:p>
        </w:tc>
        <w:tc>
          <w:tcPr>
            <w:tcW w:w="7371" w:type="dxa"/>
            <w:noWrap/>
            <w:vAlign w:val="center"/>
          </w:tcPr>
          <w:p w14:paraId="1F381420">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开工预付款金额：</w:t>
            </w:r>
            <w:r>
              <w:rPr>
                <w:rFonts w:hint="eastAsia" w:ascii="宋体" w:hAnsi="宋体" w:cs="宋体"/>
                <w:color w:val="000000" w:themeColor="text1"/>
                <w:kern w:val="2"/>
                <w:szCs w:val="21"/>
                <w:highlight w:val="none"/>
                <w:u w:val="single"/>
                <w14:textFill>
                  <w14:solidFill>
                    <w14:schemeClr w14:val="tx1"/>
                  </w14:solidFill>
                </w14:textFill>
              </w:rPr>
              <w:t>10</w:t>
            </w:r>
            <w:r>
              <w:rPr>
                <w:rFonts w:hint="eastAsia" w:ascii="宋体" w:hAnsi="宋体" w:cs="宋体"/>
                <w:color w:val="000000" w:themeColor="text1"/>
                <w:kern w:val="2"/>
                <w:szCs w:val="21"/>
                <w:highlight w:val="none"/>
                <w14:textFill>
                  <w14:solidFill>
                    <w14:schemeClr w14:val="tx1"/>
                  </w14:solidFill>
                </w14:textFill>
              </w:rPr>
              <w:t>%签约合同价</w:t>
            </w:r>
          </w:p>
          <w:p w14:paraId="66A2E45C">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 xml:space="preserve">合同签订后，承包人向发包人提供合同价10%的预付款保函后，发包人支付合同价的10%作为预付款； </w:t>
            </w:r>
          </w:p>
        </w:tc>
      </w:tr>
      <w:tr w14:paraId="0184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ign w:val="center"/>
          </w:tcPr>
          <w:p w14:paraId="798B61FE">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16</w:t>
            </w:r>
          </w:p>
        </w:tc>
        <w:tc>
          <w:tcPr>
            <w:tcW w:w="1589" w:type="dxa"/>
            <w:noWrap/>
            <w:vAlign w:val="center"/>
          </w:tcPr>
          <w:p w14:paraId="681ADBB4">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17.2.1（2）</w:t>
            </w:r>
          </w:p>
        </w:tc>
        <w:tc>
          <w:tcPr>
            <w:tcW w:w="7371" w:type="dxa"/>
            <w:noWrap/>
            <w:vAlign w:val="center"/>
          </w:tcPr>
          <w:p w14:paraId="48DA4048">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材料、设备预付款比例：</w:t>
            </w:r>
            <w:r>
              <w:rPr>
                <w:rFonts w:hint="eastAsia" w:ascii="宋体" w:hAnsi="宋体" w:cs="宋体"/>
                <w:color w:val="000000" w:themeColor="text1"/>
                <w:kern w:val="2"/>
                <w:szCs w:val="21"/>
                <w:highlight w:val="none"/>
                <w:u w:val="single"/>
                <w14:textFill>
                  <w14:solidFill>
                    <w14:schemeClr w14:val="tx1"/>
                  </w14:solidFill>
                </w14:textFill>
              </w:rPr>
              <w:t xml:space="preserve"> /   </w:t>
            </w:r>
            <w:r>
              <w:rPr>
                <w:rFonts w:hint="eastAsia" w:ascii="宋体" w:hAnsi="宋体" w:cs="宋体"/>
                <w:color w:val="000000" w:themeColor="text1"/>
                <w:kern w:val="2"/>
                <w:szCs w:val="21"/>
                <w:highlight w:val="none"/>
                <w14:textFill>
                  <w14:solidFill>
                    <w14:schemeClr w14:val="tx1"/>
                  </w14:solidFill>
                </w14:textFill>
              </w:rPr>
              <w:t>等主要材料、设备单据所列费用的</w:t>
            </w:r>
            <w:r>
              <w:rPr>
                <w:rFonts w:hint="eastAsia" w:ascii="宋体" w:hAnsi="宋体" w:cs="宋体"/>
                <w:color w:val="000000" w:themeColor="text1"/>
                <w:kern w:val="2"/>
                <w:szCs w:val="21"/>
                <w:highlight w:val="none"/>
                <w:u w:val="single"/>
                <w14:textFill>
                  <w14:solidFill>
                    <w14:schemeClr w14:val="tx1"/>
                  </w14:solidFill>
                </w14:textFill>
              </w:rPr>
              <w:t xml:space="preserve"> /  </w:t>
            </w:r>
            <w:r>
              <w:rPr>
                <w:rFonts w:hint="eastAsia" w:ascii="宋体" w:hAnsi="宋体" w:cs="宋体"/>
                <w:color w:val="000000" w:themeColor="text1"/>
                <w:kern w:val="2"/>
                <w:szCs w:val="21"/>
                <w:highlight w:val="none"/>
                <w14:textFill>
                  <w14:solidFill>
                    <w14:schemeClr w14:val="tx1"/>
                  </w14:solidFill>
                </w14:textFill>
              </w:rPr>
              <w:t>%</w:t>
            </w:r>
          </w:p>
        </w:tc>
      </w:tr>
      <w:tr w14:paraId="54FB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ign w:val="center"/>
          </w:tcPr>
          <w:p w14:paraId="3607CC25">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17</w:t>
            </w:r>
          </w:p>
        </w:tc>
        <w:tc>
          <w:tcPr>
            <w:tcW w:w="1589" w:type="dxa"/>
            <w:noWrap/>
            <w:vAlign w:val="center"/>
          </w:tcPr>
          <w:p w14:paraId="1B84C9F6">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17.3.2</w:t>
            </w:r>
          </w:p>
        </w:tc>
        <w:tc>
          <w:tcPr>
            <w:tcW w:w="7371" w:type="dxa"/>
            <w:noWrap/>
            <w:vAlign w:val="center"/>
          </w:tcPr>
          <w:p w14:paraId="0E1C85F0">
            <w:pPr>
              <w:snapToGrid w:val="0"/>
              <w:spacing w:line="400" w:lineRule="exact"/>
              <w:rPr>
                <w:rFonts w:ascii="宋体" w:hAnsi="宋体" w:cs="宋体"/>
                <w:color w:val="000000" w:themeColor="text1"/>
                <w:spacing w:val="-2"/>
                <w:kern w:val="2"/>
                <w:szCs w:val="21"/>
                <w:highlight w:val="none"/>
                <w14:textFill>
                  <w14:solidFill>
                    <w14:schemeClr w14:val="tx1"/>
                  </w14:solidFill>
                </w14:textFill>
              </w:rPr>
            </w:pPr>
            <w:r>
              <w:rPr>
                <w:rFonts w:hint="eastAsia" w:ascii="宋体" w:hAnsi="宋体" w:cs="宋体"/>
                <w:color w:val="000000" w:themeColor="text1"/>
                <w:spacing w:val="-2"/>
                <w:kern w:val="2"/>
                <w:szCs w:val="21"/>
                <w:highlight w:val="none"/>
                <w14:textFill>
                  <w14:solidFill>
                    <w14:schemeClr w14:val="tx1"/>
                  </w14:solidFill>
                </w14:textFill>
              </w:rPr>
              <w:t>承包人在每个付款周期末向监理人提交进度付款申请单的份数：</w:t>
            </w:r>
            <w:r>
              <w:rPr>
                <w:rFonts w:hint="eastAsia" w:ascii="宋体" w:hAnsi="宋体" w:cs="宋体"/>
                <w:color w:val="000000" w:themeColor="text1"/>
                <w:spacing w:val="-2"/>
                <w:kern w:val="2"/>
                <w:szCs w:val="21"/>
                <w:highlight w:val="none"/>
                <w:u w:val="single"/>
                <w14:textFill>
                  <w14:solidFill>
                    <w14:schemeClr w14:val="tx1"/>
                  </w14:solidFill>
                </w14:textFill>
              </w:rPr>
              <w:t xml:space="preserve"> 3  </w:t>
            </w:r>
            <w:r>
              <w:rPr>
                <w:rFonts w:hint="eastAsia" w:ascii="宋体" w:hAnsi="宋体" w:cs="宋体"/>
                <w:color w:val="000000" w:themeColor="text1"/>
                <w:spacing w:val="-2"/>
                <w:kern w:val="2"/>
                <w:szCs w:val="21"/>
                <w:highlight w:val="none"/>
                <w14:textFill>
                  <w14:solidFill>
                    <w14:schemeClr w14:val="tx1"/>
                  </w14:solidFill>
                </w14:textFill>
              </w:rPr>
              <w:t>份</w:t>
            </w:r>
          </w:p>
        </w:tc>
      </w:tr>
      <w:tr w14:paraId="7765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ign w:val="center"/>
          </w:tcPr>
          <w:p w14:paraId="5BC8CD3C">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18</w:t>
            </w:r>
          </w:p>
        </w:tc>
        <w:tc>
          <w:tcPr>
            <w:tcW w:w="1589" w:type="dxa"/>
            <w:noWrap/>
            <w:vAlign w:val="center"/>
          </w:tcPr>
          <w:p w14:paraId="3F551DA9">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17.3.3（1）</w:t>
            </w:r>
          </w:p>
        </w:tc>
        <w:tc>
          <w:tcPr>
            <w:tcW w:w="7371" w:type="dxa"/>
            <w:noWrap/>
            <w:vAlign w:val="center"/>
          </w:tcPr>
          <w:p w14:paraId="07928953">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进度付款证书最低限额：</w:t>
            </w:r>
            <w:r>
              <w:rPr>
                <w:rFonts w:hint="eastAsia" w:ascii="宋体" w:hAnsi="宋体" w:cs="宋体"/>
                <w:color w:val="000000" w:themeColor="text1"/>
                <w:kern w:val="2"/>
                <w:szCs w:val="21"/>
                <w:highlight w:val="none"/>
                <w:u w:val="single"/>
                <w14:textFill>
                  <w14:solidFill>
                    <w14:schemeClr w14:val="tx1"/>
                  </w14:solidFill>
                </w14:textFill>
              </w:rPr>
              <w:t xml:space="preserve">   /  </w:t>
            </w:r>
            <w:r>
              <w:rPr>
                <w:rFonts w:hint="eastAsia" w:ascii="宋体" w:hAnsi="宋体" w:cs="宋体"/>
                <w:color w:val="000000" w:themeColor="text1"/>
                <w:kern w:val="2"/>
                <w:szCs w:val="21"/>
                <w:highlight w:val="none"/>
                <w14:textFill>
                  <w14:solidFill>
                    <w14:schemeClr w14:val="tx1"/>
                  </w14:solidFill>
                </w14:textFill>
              </w:rPr>
              <w:t>万元</w:t>
            </w:r>
          </w:p>
        </w:tc>
      </w:tr>
      <w:tr w14:paraId="30B1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ign w:val="center"/>
          </w:tcPr>
          <w:p w14:paraId="39602030">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19</w:t>
            </w:r>
          </w:p>
        </w:tc>
        <w:tc>
          <w:tcPr>
            <w:tcW w:w="1589" w:type="dxa"/>
            <w:noWrap/>
            <w:vAlign w:val="center"/>
          </w:tcPr>
          <w:p w14:paraId="1526AF2C">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17.3.3（2）</w:t>
            </w:r>
          </w:p>
        </w:tc>
        <w:tc>
          <w:tcPr>
            <w:tcW w:w="7371" w:type="dxa"/>
            <w:noWrap/>
            <w:vAlign w:val="center"/>
          </w:tcPr>
          <w:p w14:paraId="619FD362">
            <w:pPr>
              <w:snapToGrid w:val="0"/>
              <w:spacing w:line="400" w:lineRule="exact"/>
              <w:rPr>
                <w:rFonts w:ascii="宋体" w:hAnsi="宋体" w:cs="宋体"/>
                <w:color w:val="000000" w:themeColor="text1"/>
                <w:kern w:val="2"/>
                <w:szCs w:val="21"/>
                <w:highlight w:val="none"/>
                <w:u w:val="singl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逾期付款违约金的利率：</w:t>
            </w:r>
            <w:r>
              <w:rPr>
                <w:rFonts w:hint="eastAsia" w:ascii="宋体" w:hAnsi="宋体" w:cs="宋体"/>
                <w:color w:val="000000" w:themeColor="text1"/>
                <w:kern w:val="2"/>
                <w:szCs w:val="21"/>
                <w:highlight w:val="none"/>
                <w:u w:val="single"/>
                <w14:textFill>
                  <w14:solidFill>
                    <w14:schemeClr w14:val="tx1"/>
                  </w14:solidFill>
                </w14:textFill>
              </w:rPr>
              <w:t xml:space="preserve">   /  </w:t>
            </w:r>
            <w:r>
              <w:rPr>
                <w:rFonts w:hint="eastAsia" w:ascii="宋体" w:hAnsi="宋体" w:cs="宋体"/>
                <w:color w:val="000000" w:themeColor="text1"/>
                <w:kern w:val="2"/>
                <w:szCs w:val="21"/>
                <w:highlight w:val="none"/>
                <w14:textFill>
                  <w14:solidFill>
                    <w14:schemeClr w14:val="tx1"/>
                  </w14:solidFill>
                </w14:textFill>
              </w:rPr>
              <w:t>‰/天</w:t>
            </w:r>
          </w:p>
        </w:tc>
      </w:tr>
      <w:tr w14:paraId="33F1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ign w:val="center"/>
          </w:tcPr>
          <w:p w14:paraId="052DE8D1">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21</w:t>
            </w:r>
          </w:p>
        </w:tc>
        <w:tc>
          <w:tcPr>
            <w:tcW w:w="1589" w:type="dxa"/>
            <w:noWrap/>
            <w:vAlign w:val="center"/>
          </w:tcPr>
          <w:p w14:paraId="26D3C45B">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17.5.1（1）</w:t>
            </w:r>
          </w:p>
        </w:tc>
        <w:tc>
          <w:tcPr>
            <w:tcW w:w="7371" w:type="dxa"/>
            <w:noWrap/>
            <w:vAlign w:val="center"/>
          </w:tcPr>
          <w:p w14:paraId="7865C27B">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承包人向监理人提交交工付款申请单（包括相关证明材料）的份数：</w:t>
            </w:r>
            <w:r>
              <w:rPr>
                <w:rFonts w:hint="eastAsia" w:ascii="宋体" w:hAnsi="宋体" w:cs="宋体"/>
                <w:color w:val="000000" w:themeColor="text1"/>
                <w:kern w:val="2"/>
                <w:szCs w:val="21"/>
                <w:highlight w:val="none"/>
                <w:u w:val="single"/>
                <w14:textFill>
                  <w14:solidFill>
                    <w14:schemeClr w14:val="tx1"/>
                  </w14:solidFill>
                </w14:textFill>
              </w:rPr>
              <w:t xml:space="preserve">  3  </w:t>
            </w:r>
            <w:r>
              <w:rPr>
                <w:rFonts w:hint="eastAsia" w:ascii="宋体" w:hAnsi="宋体" w:cs="宋体"/>
                <w:color w:val="000000" w:themeColor="text1"/>
                <w:kern w:val="2"/>
                <w:szCs w:val="21"/>
                <w:highlight w:val="none"/>
                <w14:textFill>
                  <w14:solidFill>
                    <w14:schemeClr w14:val="tx1"/>
                  </w14:solidFill>
                </w14:textFill>
              </w:rPr>
              <w:t>份</w:t>
            </w:r>
          </w:p>
        </w:tc>
      </w:tr>
      <w:tr w14:paraId="3E8D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Borders>
              <w:bottom w:val="single" w:color="auto" w:sz="4" w:space="0"/>
            </w:tcBorders>
            <w:noWrap/>
            <w:vAlign w:val="center"/>
          </w:tcPr>
          <w:p w14:paraId="086E7FD2">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22</w:t>
            </w:r>
          </w:p>
        </w:tc>
        <w:tc>
          <w:tcPr>
            <w:tcW w:w="1589" w:type="dxa"/>
            <w:tcBorders>
              <w:bottom w:val="single" w:color="auto" w:sz="4" w:space="0"/>
            </w:tcBorders>
            <w:noWrap/>
            <w:vAlign w:val="center"/>
          </w:tcPr>
          <w:p w14:paraId="02087C8E">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17.6.1（1）</w:t>
            </w:r>
          </w:p>
        </w:tc>
        <w:tc>
          <w:tcPr>
            <w:tcW w:w="7371" w:type="dxa"/>
            <w:tcBorders>
              <w:bottom w:val="single" w:color="auto" w:sz="4" w:space="0"/>
            </w:tcBorders>
            <w:noWrap/>
            <w:vAlign w:val="center"/>
          </w:tcPr>
          <w:p w14:paraId="283595D2">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承包人向监理人提交最终结清申请单（包括相关证明材料）的份数：</w:t>
            </w:r>
            <w:r>
              <w:rPr>
                <w:rFonts w:hint="eastAsia" w:ascii="宋体" w:hAnsi="宋体" w:cs="宋体"/>
                <w:color w:val="000000" w:themeColor="text1"/>
                <w:kern w:val="2"/>
                <w:szCs w:val="21"/>
                <w:highlight w:val="none"/>
                <w:u w:val="single"/>
                <w14:textFill>
                  <w14:solidFill>
                    <w14:schemeClr w14:val="tx1"/>
                  </w14:solidFill>
                </w14:textFill>
              </w:rPr>
              <w:t xml:space="preserve">  3   </w:t>
            </w:r>
            <w:r>
              <w:rPr>
                <w:rFonts w:hint="eastAsia" w:ascii="宋体" w:hAnsi="宋体" w:cs="宋体"/>
                <w:color w:val="000000" w:themeColor="text1"/>
                <w:kern w:val="2"/>
                <w:szCs w:val="21"/>
                <w:highlight w:val="none"/>
                <w14:textFill>
                  <w14:solidFill>
                    <w14:schemeClr w14:val="tx1"/>
                  </w14:solidFill>
                </w14:textFill>
              </w:rPr>
              <w:t>份</w:t>
            </w:r>
          </w:p>
        </w:tc>
      </w:tr>
      <w:tr w14:paraId="75ED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Borders>
              <w:top w:val="single" w:color="auto" w:sz="4" w:space="0"/>
              <w:left w:val="single" w:color="auto" w:sz="4" w:space="0"/>
              <w:bottom w:val="single" w:color="auto" w:sz="4" w:space="0"/>
              <w:right w:val="single" w:color="auto" w:sz="4" w:space="0"/>
            </w:tcBorders>
            <w:noWrap/>
            <w:vAlign w:val="center"/>
          </w:tcPr>
          <w:p w14:paraId="1382CDBC">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23</w:t>
            </w:r>
          </w:p>
        </w:tc>
        <w:tc>
          <w:tcPr>
            <w:tcW w:w="1589" w:type="dxa"/>
            <w:tcBorders>
              <w:top w:val="single" w:color="auto" w:sz="4" w:space="0"/>
              <w:left w:val="single" w:color="auto" w:sz="4" w:space="0"/>
              <w:bottom w:val="single" w:color="auto" w:sz="4" w:space="0"/>
              <w:right w:val="single" w:color="auto" w:sz="4" w:space="0"/>
            </w:tcBorders>
            <w:noWrap/>
            <w:vAlign w:val="center"/>
          </w:tcPr>
          <w:p w14:paraId="09C1E47C">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18.2（2）</w:t>
            </w:r>
          </w:p>
        </w:tc>
        <w:tc>
          <w:tcPr>
            <w:tcW w:w="7371" w:type="dxa"/>
            <w:tcBorders>
              <w:top w:val="single" w:color="auto" w:sz="4" w:space="0"/>
              <w:left w:val="single" w:color="auto" w:sz="4" w:space="0"/>
              <w:bottom w:val="single" w:color="auto" w:sz="4" w:space="0"/>
              <w:right w:val="single" w:color="auto" w:sz="4" w:space="0"/>
            </w:tcBorders>
            <w:noWrap/>
            <w:vAlign w:val="center"/>
          </w:tcPr>
          <w:p w14:paraId="43018C12">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竣工资料的份数：</w:t>
            </w:r>
            <w:r>
              <w:rPr>
                <w:rFonts w:hint="eastAsia" w:ascii="宋体" w:hAnsi="宋体" w:cs="宋体"/>
                <w:color w:val="000000" w:themeColor="text1"/>
                <w:kern w:val="2"/>
                <w:szCs w:val="21"/>
                <w:highlight w:val="none"/>
                <w:u w:val="single"/>
                <w14:textFill>
                  <w14:solidFill>
                    <w14:schemeClr w14:val="tx1"/>
                  </w14:solidFill>
                </w14:textFill>
              </w:rPr>
              <w:t xml:space="preserve">   3   </w:t>
            </w:r>
            <w:r>
              <w:rPr>
                <w:rFonts w:hint="eastAsia" w:ascii="宋体" w:hAnsi="宋体" w:cs="宋体"/>
                <w:color w:val="000000" w:themeColor="text1"/>
                <w:kern w:val="2"/>
                <w:szCs w:val="21"/>
                <w:highlight w:val="none"/>
                <w14:textFill>
                  <w14:solidFill>
                    <w14:schemeClr w14:val="tx1"/>
                  </w14:solidFill>
                </w14:textFill>
              </w:rPr>
              <w:t>份</w:t>
            </w:r>
          </w:p>
        </w:tc>
      </w:tr>
      <w:tr w14:paraId="33AC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Borders>
              <w:top w:val="single" w:color="auto" w:sz="4" w:space="0"/>
              <w:left w:val="single" w:color="auto" w:sz="4" w:space="0"/>
              <w:bottom w:val="single" w:color="auto" w:sz="4" w:space="0"/>
              <w:right w:val="single" w:color="auto" w:sz="4" w:space="0"/>
            </w:tcBorders>
            <w:noWrap/>
            <w:vAlign w:val="center"/>
          </w:tcPr>
          <w:p w14:paraId="1B901209">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24</w:t>
            </w:r>
          </w:p>
        </w:tc>
        <w:tc>
          <w:tcPr>
            <w:tcW w:w="1589" w:type="dxa"/>
            <w:tcBorders>
              <w:top w:val="single" w:color="auto" w:sz="4" w:space="0"/>
              <w:left w:val="single" w:color="auto" w:sz="4" w:space="0"/>
              <w:bottom w:val="single" w:color="auto" w:sz="4" w:space="0"/>
              <w:right w:val="single" w:color="auto" w:sz="4" w:space="0"/>
            </w:tcBorders>
            <w:noWrap/>
            <w:vAlign w:val="center"/>
          </w:tcPr>
          <w:p w14:paraId="391BF381">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18.5.1</w:t>
            </w:r>
          </w:p>
        </w:tc>
        <w:tc>
          <w:tcPr>
            <w:tcW w:w="7371" w:type="dxa"/>
            <w:tcBorders>
              <w:top w:val="single" w:color="auto" w:sz="4" w:space="0"/>
              <w:left w:val="single" w:color="auto" w:sz="4" w:space="0"/>
              <w:bottom w:val="single" w:color="auto" w:sz="4" w:space="0"/>
              <w:right w:val="single" w:color="auto" w:sz="4" w:space="0"/>
            </w:tcBorders>
            <w:noWrap/>
            <w:vAlign w:val="center"/>
          </w:tcPr>
          <w:p w14:paraId="0032529E">
            <w:pPr>
              <w:spacing w:line="400" w:lineRule="exact"/>
              <w:rPr>
                <w:rFonts w:ascii="宋体" w:hAnsi="宋体" w:cs="宋体"/>
                <w:color w:val="000000" w:themeColor="text1"/>
                <w:kern w:val="2"/>
                <w:szCs w:val="21"/>
                <w:highlight w:val="none"/>
                <w:u w:val="singl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单位工程或工程设备是否需投入施工期运行：</w:t>
            </w:r>
            <w:r>
              <w:rPr>
                <w:rFonts w:hint="eastAsia" w:ascii="宋体" w:hAnsi="宋体" w:cs="宋体"/>
                <w:color w:val="000000" w:themeColor="text1"/>
                <w:kern w:val="2"/>
                <w:sz w:val="32"/>
                <w:szCs w:val="24"/>
                <w:highlight w:val="none"/>
                <w14:textFill>
                  <w14:solidFill>
                    <w14:schemeClr w14:val="tx1"/>
                  </w14:solidFill>
                </w14:textFill>
              </w:rPr>
              <w:t>□</w:t>
            </w:r>
            <w:r>
              <w:rPr>
                <w:rFonts w:hint="eastAsia" w:ascii="宋体" w:hAnsi="宋体" w:cs="宋体"/>
                <w:color w:val="000000" w:themeColor="text1"/>
                <w:kern w:val="2"/>
                <w:szCs w:val="21"/>
                <w:highlight w:val="none"/>
                <w14:textFill>
                  <w14:solidFill>
                    <w14:schemeClr w14:val="tx1"/>
                  </w14:solidFill>
                </w14:textFill>
              </w:rPr>
              <w:t xml:space="preserve">是 </w:t>
            </w:r>
            <w:r>
              <w:rPr>
                <w:rFonts w:hint="eastAsia" w:ascii="宋体" w:hAnsi="宋体" w:cs="宋体"/>
                <w:color w:val="000000" w:themeColor="text1"/>
                <w:kern w:val="2"/>
                <w:sz w:val="32"/>
                <w:szCs w:val="24"/>
                <w:highlight w:val="none"/>
                <w14:textFill>
                  <w14:solidFill>
                    <w14:schemeClr w14:val="tx1"/>
                  </w14:solidFill>
                </w14:textFill>
              </w:rPr>
              <w:sym w:font="Wingdings 2" w:char="0052"/>
            </w:r>
            <w:r>
              <w:rPr>
                <w:rFonts w:hint="eastAsia" w:ascii="宋体" w:hAnsi="宋体" w:cs="宋体"/>
                <w:color w:val="000000" w:themeColor="text1"/>
                <w:kern w:val="2"/>
                <w:szCs w:val="21"/>
                <w:highlight w:val="none"/>
                <w14:textFill>
                  <w14:solidFill>
                    <w14:schemeClr w14:val="tx1"/>
                  </w14:solidFill>
                </w14:textFill>
              </w:rPr>
              <w:t>否</w:t>
            </w:r>
          </w:p>
          <w:p w14:paraId="408E1FE9">
            <w:pPr>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如单位工程或工程设备需要进行施工期运行，需要施工期运行的单位工程或工程设备规定如下：</w:t>
            </w:r>
            <w:r>
              <w:rPr>
                <w:rFonts w:hint="eastAsia" w:ascii="宋体" w:hAnsi="宋体" w:cs="宋体"/>
                <w:color w:val="000000" w:themeColor="text1"/>
                <w:kern w:val="2"/>
                <w:szCs w:val="21"/>
                <w:highlight w:val="none"/>
                <w:u w:val="single"/>
                <w14:textFill>
                  <w14:solidFill>
                    <w14:schemeClr w14:val="tx1"/>
                  </w14:solidFill>
                </w14:textFill>
              </w:rPr>
              <w:t xml:space="preserve">              /         </w:t>
            </w:r>
          </w:p>
        </w:tc>
      </w:tr>
      <w:tr w14:paraId="506F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Borders>
              <w:top w:val="single" w:color="auto" w:sz="4" w:space="0"/>
              <w:left w:val="single" w:color="auto" w:sz="4" w:space="0"/>
              <w:bottom w:val="single" w:color="auto" w:sz="4" w:space="0"/>
              <w:right w:val="single" w:color="auto" w:sz="4" w:space="0"/>
            </w:tcBorders>
            <w:noWrap/>
            <w:vAlign w:val="center"/>
          </w:tcPr>
          <w:p w14:paraId="7FB04DB0">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25</w:t>
            </w:r>
          </w:p>
        </w:tc>
        <w:tc>
          <w:tcPr>
            <w:tcW w:w="1589" w:type="dxa"/>
            <w:tcBorders>
              <w:top w:val="single" w:color="auto" w:sz="4" w:space="0"/>
              <w:left w:val="single" w:color="auto" w:sz="4" w:space="0"/>
              <w:bottom w:val="single" w:color="auto" w:sz="4" w:space="0"/>
              <w:right w:val="single" w:color="auto" w:sz="4" w:space="0"/>
            </w:tcBorders>
            <w:noWrap/>
            <w:vAlign w:val="center"/>
          </w:tcPr>
          <w:p w14:paraId="506B81AE">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18.6.1</w:t>
            </w:r>
          </w:p>
        </w:tc>
        <w:tc>
          <w:tcPr>
            <w:tcW w:w="7371" w:type="dxa"/>
            <w:tcBorders>
              <w:top w:val="single" w:color="auto" w:sz="4" w:space="0"/>
              <w:left w:val="single" w:color="auto" w:sz="4" w:space="0"/>
              <w:bottom w:val="single" w:color="auto" w:sz="4" w:space="0"/>
              <w:right w:val="single" w:color="auto" w:sz="4" w:space="0"/>
            </w:tcBorders>
            <w:noWrap/>
            <w:vAlign w:val="center"/>
          </w:tcPr>
          <w:p w14:paraId="564A3D66">
            <w:pPr>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本工程及工程设备是</w:t>
            </w:r>
            <w:r>
              <w:rPr>
                <w:rFonts w:hint="eastAsia" w:ascii="宋体" w:hAnsi="宋体" w:cs="宋体"/>
                <w:color w:val="000000" w:themeColor="text1"/>
                <w:kern w:val="2"/>
                <w:szCs w:val="21"/>
                <w:highlight w:val="none"/>
                <w14:textFill>
                  <w14:solidFill>
                    <w14:schemeClr w14:val="tx1"/>
                  </w14:solidFill>
                </w14:textFill>
              </w:rPr>
              <w:t>否进行试运行：</w:t>
            </w:r>
            <w:r>
              <w:rPr>
                <w:rFonts w:hint="eastAsia" w:ascii="宋体" w:hAnsi="宋体" w:cs="宋体"/>
                <w:color w:val="000000" w:themeColor="text1"/>
                <w:kern w:val="2"/>
                <w:sz w:val="32"/>
                <w:szCs w:val="24"/>
                <w:highlight w:val="none"/>
                <w14:textFill>
                  <w14:solidFill>
                    <w14:schemeClr w14:val="tx1"/>
                  </w14:solidFill>
                </w14:textFill>
              </w:rPr>
              <w:t>☑</w:t>
            </w:r>
            <w:r>
              <w:rPr>
                <w:rFonts w:hint="eastAsia" w:ascii="宋体" w:hAnsi="宋体" w:cs="宋体"/>
                <w:color w:val="000000" w:themeColor="text1"/>
                <w:kern w:val="2"/>
                <w:szCs w:val="21"/>
                <w:highlight w:val="none"/>
                <w14:textFill>
                  <w14:solidFill>
                    <w14:schemeClr w14:val="tx1"/>
                  </w14:solidFill>
                </w14:textFill>
              </w:rPr>
              <w:t>是 ：30天</w:t>
            </w:r>
          </w:p>
          <w:p w14:paraId="5C8A8093">
            <w:pPr>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 w:val="32"/>
                <w:szCs w:val="24"/>
                <w:highlight w:val="none"/>
                <w14:textFill>
                  <w14:solidFill>
                    <w14:schemeClr w14:val="tx1"/>
                  </w14:solidFill>
                </w14:textFill>
              </w:rPr>
              <w:t>□</w:t>
            </w:r>
            <w:r>
              <w:rPr>
                <w:rFonts w:hint="eastAsia" w:ascii="宋体" w:hAnsi="宋体" w:cs="宋体"/>
                <w:color w:val="000000" w:themeColor="text1"/>
                <w:kern w:val="2"/>
                <w:szCs w:val="21"/>
                <w:highlight w:val="none"/>
                <w14:textFill>
                  <w14:solidFill>
                    <w14:schemeClr w14:val="tx1"/>
                  </w14:solidFill>
                </w14:textFill>
              </w:rPr>
              <w:t>否</w:t>
            </w:r>
          </w:p>
        </w:tc>
      </w:tr>
      <w:tr w14:paraId="741F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ign w:val="center"/>
          </w:tcPr>
          <w:p w14:paraId="1BD7FE40">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26</w:t>
            </w:r>
          </w:p>
        </w:tc>
        <w:tc>
          <w:tcPr>
            <w:tcW w:w="1589" w:type="dxa"/>
            <w:noWrap/>
            <w:vAlign w:val="center"/>
          </w:tcPr>
          <w:p w14:paraId="2E89015D">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19.7（1）</w:t>
            </w:r>
          </w:p>
        </w:tc>
        <w:tc>
          <w:tcPr>
            <w:tcW w:w="7371" w:type="dxa"/>
            <w:noWrap/>
            <w:vAlign w:val="center"/>
          </w:tcPr>
          <w:p w14:paraId="7019520C">
            <w:pPr>
              <w:snapToGrid w:val="0"/>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保修期：自实际交工日期起计算</w:t>
            </w:r>
            <w:r>
              <w:rPr>
                <w:rFonts w:hint="eastAsia" w:ascii="宋体" w:hAnsi="宋体" w:cs="宋体"/>
                <w:color w:val="000000" w:themeColor="text1"/>
                <w:kern w:val="2"/>
                <w:szCs w:val="21"/>
                <w:highlight w:val="none"/>
                <w:u w:val="single"/>
                <w14:textFill>
                  <w14:solidFill>
                    <w14:schemeClr w14:val="tx1"/>
                  </w14:solidFill>
                </w14:textFill>
              </w:rPr>
              <w:t xml:space="preserve">   5 </w:t>
            </w:r>
            <w:r>
              <w:rPr>
                <w:rFonts w:hint="eastAsia" w:ascii="宋体" w:hAnsi="宋体" w:cs="宋体"/>
                <w:color w:val="000000" w:themeColor="text1"/>
                <w:kern w:val="2"/>
                <w:szCs w:val="21"/>
                <w:highlight w:val="none"/>
                <w14:textFill>
                  <w14:solidFill>
                    <w14:schemeClr w14:val="tx1"/>
                  </w14:solidFill>
                </w14:textFill>
              </w:rPr>
              <w:t>年</w:t>
            </w:r>
          </w:p>
        </w:tc>
      </w:tr>
      <w:tr w14:paraId="733C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ign w:val="center"/>
          </w:tcPr>
          <w:p w14:paraId="0764A9DD">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29</w:t>
            </w:r>
          </w:p>
        </w:tc>
        <w:tc>
          <w:tcPr>
            <w:tcW w:w="1589" w:type="dxa"/>
            <w:noWrap/>
            <w:vAlign w:val="center"/>
          </w:tcPr>
          <w:p w14:paraId="232B04C0">
            <w:pPr>
              <w:snapToGrid w:val="0"/>
              <w:spacing w:line="400" w:lineRule="exact"/>
              <w:jc w:val="center"/>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24.1</w:t>
            </w:r>
          </w:p>
        </w:tc>
        <w:tc>
          <w:tcPr>
            <w:tcW w:w="7371" w:type="dxa"/>
            <w:noWrap/>
            <w:vAlign w:val="center"/>
          </w:tcPr>
          <w:p w14:paraId="0BAC56FF">
            <w:pPr>
              <w:spacing w:line="400" w:lineRule="exact"/>
              <w:rPr>
                <w:rFonts w:ascii="宋体" w:hAnsi="宋体" w:cs="宋体"/>
                <w:color w:val="000000" w:themeColor="text1"/>
                <w:kern w:val="2"/>
                <w:szCs w:val="21"/>
                <w:highlight w:val="none"/>
                <w:u w:val="singl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 xml:space="preserve">争议的最终解决方式：  </w:t>
            </w:r>
            <w:r>
              <w:rPr>
                <w:rFonts w:hint="eastAsia" w:ascii="宋体" w:hAnsi="宋体" w:cs="宋体"/>
                <w:color w:val="000000" w:themeColor="text1"/>
                <w:kern w:val="2"/>
                <w:szCs w:val="21"/>
                <w:highlight w:val="none"/>
                <w14:textFill>
                  <w14:solidFill>
                    <w14:schemeClr w14:val="tx1"/>
                  </w14:solidFill>
                </w14:textFill>
              </w:rPr>
              <w:sym w:font="Wingdings 2" w:char="00A3"/>
            </w:r>
            <w:r>
              <w:rPr>
                <w:rFonts w:hint="eastAsia" w:ascii="宋体" w:hAnsi="宋体" w:cs="宋体"/>
                <w:color w:val="000000" w:themeColor="text1"/>
                <w:kern w:val="2"/>
                <w:szCs w:val="21"/>
                <w:highlight w:val="none"/>
                <w:u w:val="single"/>
                <w14:textFill>
                  <w14:solidFill>
                    <w14:schemeClr w14:val="tx1"/>
                  </w14:solidFill>
                </w14:textFill>
              </w:rPr>
              <w:t>仲裁，</w:t>
            </w:r>
            <w:r>
              <w:rPr>
                <w:rFonts w:hint="eastAsia" w:ascii="宋体" w:hAnsi="宋体" w:cs="宋体"/>
                <w:color w:val="000000" w:themeColor="text1"/>
                <w:kern w:val="2"/>
                <w:szCs w:val="21"/>
                <w:highlight w:val="none"/>
                <w14:textFill>
                  <w14:solidFill>
                    <w14:schemeClr w14:val="tx1"/>
                  </w14:solidFill>
                </w14:textFill>
              </w:rPr>
              <w:t>仲裁委员会名称：</w:t>
            </w:r>
          </w:p>
          <w:p w14:paraId="5115FF62">
            <w:pPr>
              <w:spacing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sym w:font="Wingdings 2" w:char="0052"/>
            </w:r>
            <w:r>
              <w:rPr>
                <w:rFonts w:hint="eastAsia" w:ascii="宋体" w:hAnsi="宋体" w:cs="宋体"/>
                <w:color w:val="000000" w:themeColor="text1"/>
                <w:kern w:val="2"/>
                <w:szCs w:val="21"/>
                <w:highlight w:val="none"/>
                <w:u w:val="single"/>
                <w14:textFill>
                  <w14:solidFill>
                    <w14:schemeClr w14:val="tx1"/>
                  </w14:solidFill>
                </w14:textFill>
              </w:rPr>
              <w:t>诉讼 ：</w:t>
            </w:r>
            <w:r>
              <w:rPr>
                <w:rFonts w:hint="eastAsia" w:ascii="宋体" w:hAnsi="宋体" w:cs="宋体"/>
                <w:color w:val="000000" w:themeColor="text1"/>
                <w:kern w:val="2"/>
                <w:szCs w:val="21"/>
                <w:highlight w:val="none"/>
                <w14:textFill>
                  <w14:solidFill>
                    <w14:schemeClr w14:val="tx1"/>
                  </w14:solidFill>
                </w14:textFill>
              </w:rPr>
              <w:t>项目所在地人民法院</w:t>
            </w:r>
          </w:p>
        </w:tc>
      </w:tr>
      <w:bookmarkEnd w:id="221"/>
    </w:tbl>
    <w:p w14:paraId="10129DA4">
      <w:pPr>
        <w:spacing w:line="380" w:lineRule="atLeast"/>
        <w:jc w:val="left"/>
        <w:rPr>
          <w:rFonts w:ascii="宋体" w:hAnsi="宋体" w:cs="宋体"/>
          <w:color w:val="000000" w:themeColor="text1"/>
          <w:kern w:val="2"/>
          <w:sz w:val="20"/>
          <w:szCs w:val="20"/>
          <w:highlight w:val="none"/>
          <w14:textFill>
            <w14:solidFill>
              <w14:schemeClr w14:val="tx1"/>
            </w14:solidFill>
          </w14:textFill>
        </w:rPr>
      </w:pPr>
    </w:p>
    <w:p w14:paraId="0D9A127F">
      <w:pPr>
        <w:widowControl/>
        <w:jc w:val="left"/>
        <w:rPr>
          <w:rFonts w:ascii="宋体" w:hAnsi="宋体" w:cs="宋体"/>
          <w:bCs/>
          <w:color w:val="000000" w:themeColor="text1"/>
          <w:kern w:val="44"/>
          <w:sz w:val="32"/>
          <w:szCs w:val="32"/>
          <w:highlight w:val="none"/>
          <w:lang w:val="zh-CN"/>
          <w14:textFill>
            <w14:solidFill>
              <w14:schemeClr w14:val="tx1"/>
            </w14:solidFill>
          </w14:textFill>
        </w:rPr>
      </w:pPr>
      <w:bookmarkStart w:id="222" w:name="_Toc234833222"/>
      <w:bookmarkStart w:id="223" w:name="_Toc517787841"/>
      <w:r>
        <w:rPr>
          <w:rFonts w:hint="eastAsia" w:ascii="宋体" w:hAnsi="宋体" w:cs="宋体"/>
          <w:b/>
          <w:color w:val="000000" w:themeColor="text1"/>
          <w:kern w:val="2"/>
          <w:sz w:val="32"/>
          <w:szCs w:val="32"/>
          <w:highlight w:val="none"/>
          <w14:textFill>
            <w14:solidFill>
              <w14:schemeClr w14:val="tx1"/>
            </w14:solidFill>
          </w14:textFill>
        </w:rPr>
        <w:br w:type="page"/>
      </w:r>
    </w:p>
    <w:p w14:paraId="6B5C94B9">
      <w:pPr>
        <w:keepNext/>
        <w:keepLines/>
        <w:spacing w:before="240" w:after="240" w:line="360" w:lineRule="auto"/>
        <w:ind w:firstLine="640" w:firstLineChars="200"/>
        <w:jc w:val="center"/>
        <w:outlineLvl w:val="1"/>
        <w:rPr>
          <w:rFonts w:ascii="宋体" w:hAnsi="宋体" w:cs="宋体"/>
          <w:bCs/>
          <w:color w:val="000000" w:themeColor="text1"/>
          <w:kern w:val="44"/>
          <w:sz w:val="32"/>
          <w:szCs w:val="32"/>
          <w:highlight w:val="none"/>
          <w14:textFill>
            <w14:solidFill>
              <w14:schemeClr w14:val="tx1"/>
            </w14:solidFill>
          </w14:textFill>
        </w:rPr>
      </w:pPr>
      <w:r>
        <w:rPr>
          <w:rFonts w:hint="eastAsia" w:ascii="宋体" w:hAnsi="宋体" w:cs="宋体"/>
          <w:bCs/>
          <w:color w:val="000000" w:themeColor="text1"/>
          <w:kern w:val="44"/>
          <w:sz w:val="32"/>
          <w:szCs w:val="32"/>
          <w:highlight w:val="none"/>
          <w14:textFill>
            <w14:solidFill>
              <w14:schemeClr w14:val="tx1"/>
            </w14:solidFill>
          </w14:textFill>
        </w:rPr>
        <w:t>项目专用合同条款</w:t>
      </w:r>
      <w:bookmarkEnd w:id="222"/>
      <w:bookmarkEnd w:id="223"/>
    </w:p>
    <w:p w14:paraId="5CCB2019">
      <w:pPr>
        <w:pStyle w:val="8"/>
        <w:snapToGrid w:val="0"/>
        <w:spacing w:after="0" w:line="400" w:lineRule="exact"/>
        <w:ind w:left="0" w:leftChars="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本部分所列的项目专用合同条款是对“公路工程专用合同条款”中规定必须在项目专用合同条款中明确的内容的集中和根据江苏省公路机电工程施工招标与工程管理实践经验编制的部分项目专用条款，招标人编制的“项目专用合同条款”不限于本部分所列内容，在按规定明确相应内容的基础上，可结合项目特点和发包人管理要求进行必要的补充、细化。</w:t>
      </w:r>
    </w:p>
    <w:p w14:paraId="7F15B56A">
      <w:pPr>
        <w:keepNext/>
        <w:keepLines/>
        <w:spacing w:line="400" w:lineRule="exact"/>
        <w:ind w:firstLine="440" w:firstLineChars="200"/>
        <w:rPr>
          <w:rFonts w:ascii="宋体" w:hAnsi="宋体" w:cs="宋体"/>
          <w:bCs/>
          <w:color w:val="000000" w:themeColor="text1"/>
          <w:kern w:val="44"/>
          <w:sz w:val="22"/>
          <w:highlight w:val="none"/>
          <w14:textFill>
            <w14:solidFill>
              <w14:schemeClr w14:val="tx1"/>
            </w14:solidFill>
          </w14:textFill>
        </w:rPr>
      </w:pPr>
      <w:r>
        <w:rPr>
          <w:rFonts w:hint="eastAsia" w:ascii="宋体" w:hAnsi="宋体" w:cs="宋体"/>
          <w:bCs/>
          <w:color w:val="000000" w:themeColor="text1"/>
          <w:kern w:val="44"/>
          <w:sz w:val="22"/>
          <w:highlight w:val="none"/>
          <w14:textFill>
            <w14:solidFill>
              <w14:schemeClr w14:val="tx1"/>
            </w14:solidFill>
          </w14:textFill>
        </w:rPr>
        <w:t>1. 一般约定</w:t>
      </w:r>
    </w:p>
    <w:p w14:paraId="7C6C04D3">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1.1 词语定义</w:t>
      </w:r>
    </w:p>
    <w:p w14:paraId="74AA7CA3">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1.1.1 合同</w:t>
      </w:r>
    </w:p>
    <w:p w14:paraId="31B24AE1">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公路工程专用合同条款第 1.1.1.8 目细化为：</w:t>
      </w:r>
    </w:p>
    <w:p w14:paraId="32327E70">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1.1.1.8 已标价工程量清单：指构成合同文件组成部分的已标明价格且承包人已确认的最终的工程量清单，包括工程量清单说明、投标报价说明、其他说明及工程量清单各项表格。</w:t>
      </w:r>
    </w:p>
    <w:p w14:paraId="2E111305">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1.1.2 合同当事人和人员</w:t>
      </w:r>
    </w:p>
    <w:p w14:paraId="5B6FCDAA">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公路工程专用合同条款补充 1.1.2.9、1.1.2.10、1.1.2.11 目：</w:t>
      </w:r>
    </w:p>
    <w:p w14:paraId="449BB53C">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1.1.2.9 供货商：指为工程提供一般设备、材料的经营单位。</w:t>
      </w:r>
    </w:p>
    <w:p w14:paraId="07BB01B5">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1.1.2.10 制造商：指直接为工程制造设备、材料的生产单位。</w:t>
      </w:r>
    </w:p>
    <w:p w14:paraId="586CBBB9">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1.1.2.11 代理商：指以代理单位的资格为工程供应所代理的设备、材料的经营单位。</w:t>
      </w:r>
    </w:p>
    <w:p w14:paraId="158F16E0">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w:t>
      </w:r>
      <w:r>
        <w:rPr>
          <w:rFonts w:hint="eastAsia" w:ascii="宋体" w:hAnsi="宋体" w:cs="宋体"/>
          <w:color w:val="000000" w:themeColor="text1"/>
          <w:kern w:val="2"/>
          <w:szCs w:val="21"/>
          <w:highlight w:val="none"/>
          <w14:textFill>
            <w14:solidFill>
              <w14:schemeClr w14:val="tx1"/>
            </w14:solidFill>
          </w14:textFill>
        </w:rPr>
        <w:t>.2.12 管理人：宿迁市交通运输综合行政执法支队</w:t>
      </w:r>
    </w:p>
    <w:p w14:paraId="551BC4C9">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1.1.3 工程和设备</w:t>
      </w:r>
    </w:p>
    <w:p w14:paraId="4C7162B3">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公路工程专用合同条款1.1.3.5目细化为：</w:t>
      </w:r>
    </w:p>
    <w:p w14:paraId="029CAE28">
      <w:pPr>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1.1.3.5 工程设备：指构成或计划构成永久工程一部分的机电设备、金属结构设备、仪器装置及其他类似的设备和装置，以及成套软件。</w:t>
      </w:r>
    </w:p>
    <w:p w14:paraId="45AB2762">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公路工程专用合同条款补充 1.1.3.14、1.1.3.15、1.1.3.16、1.1.3.17目：</w:t>
      </w:r>
    </w:p>
    <w:p w14:paraId="66F02359">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1.1.3.14 调试：指按合同条款和合同其他有关规定，在施工期内，由承包人执行的、在准备合同工程的完工验收前对所安装设备、设施、子系统进行的调整、测试等工作。</w:t>
      </w:r>
    </w:p>
    <w:p w14:paraId="2E481FC4">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1.1.3.15 设备完工：指工程设备全部安装到位，并经分系统、系统、完工检（试）验合格的阶段。</w:t>
      </w:r>
    </w:p>
    <w:p w14:paraId="6818BA0D">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1.1.3.16交工测试：指在路段开通运行前，按照有关规定和规范要求进行的兼容性测试、适用性测试、技术基础检测、并网测试等。</w:t>
      </w:r>
    </w:p>
    <w:p w14:paraId="2430C944">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1.1.3.17 试运行：指工程在交工测试完成后，以检验系统功能、性能及可靠性为主要目的而进行的系统运行。</w:t>
      </w:r>
    </w:p>
    <w:p w14:paraId="74763A96">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1.1.4 日期</w:t>
      </w:r>
    </w:p>
    <w:p w14:paraId="27E2AC3C">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通用合同条款补充 1.1.4.8 目：</w:t>
      </w:r>
    </w:p>
    <w:p w14:paraId="339FC627">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 xml:space="preserve">1.1.4.8 试运行期：指从通过交工测试之日算起至通过试运行验收之日止。试运行期在项目专用合同条款数据表中明确。 </w:t>
      </w:r>
    </w:p>
    <w:p w14:paraId="1554A26F">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公路工程专用合同条款1.1.6.8目细化为：</w:t>
      </w:r>
    </w:p>
    <w:p w14:paraId="6F536910">
      <w:pPr>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1.1.6.8劳务合作：指承包人与劳务企业签订劳务合作合同，由劳务企业提供劳务人员及机具，由承包人统一组织施工、统一控制工程质量、施工进度、材料采购、生产安全的施工行为。</w:t>
      </w:r>
    </w:p>
    <w:p w14:paraId="4E729F2B">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1.7 联络</w:t>
      </w:r>
    </w:p>
    <w:p w14:paraId="4B5ACAB8">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通用合同条款第 1.7.2 项约定为：</w:t>
      </w:r>
    </w:p>
    <w:p w14:paraId="2967F713">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1.7.2 第 1.7.1 项中的通知、批准、证明、证书、指示、要求、请求、同意、意见、确定和决定等来往函件，均应在函件发出 24 小时内送达指定地点和接收人，并办理签收手续。</w:t>
      </w:r>
    </w:p>
    <w:p w14:paraId="436753E6">
      <w:pPr>
        <w:keepNext/>
        <w:keepLines/>
        <w:spacing w:line="400" w:lineRule="exact"/>
        <w:ind w:firstLine="440" w:firstLineChars="200"/>
        <w:rPr>
          <w:rFonts w:ascii="宋体" w:hAnsi="宋体" w:cs="宋体"/>
          <w:bCs/>
          <w:color w:val="000000" w:themeColor="text1"/>
          <w:kern w:val="44"/>
          <w:sz w:val="22"/>
          <w:highlight w:val="none"/>
          <w14:textFill>
            <w14:solidFill>
              <w14:schemeClr w14:val="tx1"/>
            </w14:solidFill>
          </w14:textFill>
        </w:rPr>
      </w:pPr>
      <w:r>
        <w:rPr>
          <w:rFonts w:hint="eastAsia" w:ascii="宋体" w:hAnsi="宋体" w:cs="宋体"/>
          <w:bCs/>
          <w:color w:val="000000" w:themeColor="text1"/>
          <w:kern w:val="44"/>
          <w:sz w:val="22"/>
          <w:highlight w:val="none"/>
          <w14:textFill>
            <w14:solidFill>
              <w14:schemeClr w14:val="tx1"/>
            </w14:solidFill>
          </w14:textFill>
        </w:rPr>
        <w:t>2. 发包人义务</w:t>
      </w:r>
    </w:p>
    <w:p w14:paraId="281F8341">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2.8 其他义务</w:t>
      </w:r>
    </w:p>
    <w:p w14:paraId="17CCE6BC">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本款细化为：</w:t>
      </w:r>
    </w:p>
    <w:p w14:paraId="240F8D9F">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发包人不提供进出施工现场的水、陆交通通道，不提供水、电、通讯的接入点及施工船舶临时停泊水域及停靠码头，均由承包人自行落实解决，相关费用已包含在合同价格中，发包人不另行支付。</w:t>
      </w:r>
    </w:p>
    <w:p w14:paraId="1AB95C27">
      <w:pPr>
        <w:spacing w:line="400" w:lineRule="exact"/>
        <w:ind w:firstLine="420" w:firstLineChars="200"/>
        <w:rPr>
          <w:rFonts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中标人受发包人委托，以发包人名义负责办理供电相关手续及项目移交，相关费用计入投标总价中，不单独计量与支付。</w:t>
      </w:r>
    </w:p>
    <w:p w14:paraId="43A0B1EB">
      <w:pPr>
        <w:keepNext/>
        <w:keepLines/>
        <w:spacing w:line="400" w:lineRule="exact"/>
        <w:ind w:firstLine="440" w:firstLineChars="200"/>
        <w:rPr>
          <w:rFonts w:ascii="宋体" w:hAnsi="宋体" w:cs="宋体"/>
          <w:bCs/>
          <w:color w:val="000000" w:themeColor="text1"/>
          <w:kern w:val="44"/>
          <w:sz w:val="22"/>
          <w:highlight w:val="none"/>
          <w14:textFill>
            <w14:solidFill>
              <w14:schemeClr w14:val="tx1"/>
            </w14:solidFill>
          </w14:textFill>
        </w:rPr>
      </w:pPr>
      <w:r>
        <w:rPr>
          <w:rFonts w:hint="eastAsia" w:ascii="宋体" w:hAnsi="宋体" w:cs="宋体"/>
          <w:bCs/>
          <w:color w:val="000000" w:themeColor="text1"/>
          <w:kern w:val="44"/>
          <w:sz w:val="22"/>
          <w:highlight w:val="none"/>
          <w14:textFill>
            <w14:solidFill>
              <w14:schemeClr w14:val="tx1"/>
            </w14:solidFill>
          </w14:textFill>
        </w:rPr>
        <w:t>4. 承包人</w:t>
      </w:r>
    </w:p>
    <w:p w14:paraId="6A5D15C0">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4.1 承包人的一般义务</w:t>
      </w:r>
    </w:p>
    <w:p w14:paraId="36C3546A">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4.1.8 为他人提供方便</w:t>
      </w:r>
    </w:p>
    <w:p w14:paraId="0ADA0629">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通用合同条款第 4.1.8 项补充：</w:t>
      </w:r>
    </w:p>
    <w:p w14:paraId="2D6585AE">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承包人应按监理人的指示为他人（包括发包人、发包人委托的第三方等）在施工场地或附近实施与工程有关的其他各项工作提供可能的便利条件（如交通等），提供有关条件可能发生的费用，由承包人在相关费用中考虑。</w:t>
      </w:r>
    </w:p>
    <w:p w14:paraId="3E3DE237">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4.1.10 其他义务</w:t>
      </w:r>
    </w:p>
    <w:p w14:paraId="5B10E32E">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1）临时占地的租地费用由承包人在相关费用中考虑，项目用地、项目用电的协调由承包人负责，相关费用包含在投标人投标报价中。</w:t>
      </w:r>
    </w:p>
    <w:p w14:paraId="4F0978F8">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2）系统在正式开通运行前，需按照相关要求进行交工测试，只有通过交工测试的系统才能投入运行。</w:t>
      </w:r>
    </w:p>
    <w:p w14:paraId="6C0B198F">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3）在合同履行期间，承包人应按照本项目技术规范中的内容提供培训教材并做好培训工作，对发包人或运营管理单位的管理人员、技术人员、操作人员进行培训，以便对工程的实施进行有效的管理，同时保证工程验收移交后，相关人员能够胜任系统的全部运行、操作，线路维护，故障分析处理，设备维修和保养等工作。承包人因此增加的费用应认为已包括在合同价格之中，发包人不另行支付。</w:t>
      </w:r>
    </w:p>
    <w:p w14:paraId="140697F4">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4）设备移交清单</w:t>
      </w:r>
    </w:p>
    <w:p w14:paraId="25A66F96">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工程设备完工后试运行期结束前，承包人应将工程设备（含合同规定的备品备件）移交给发包人，移交工作应有发包人和监理人参加，并根据承包人提供的工程设备移交清单、设备及随箱资料（含设备说明书、操作维修手册等）进行逐项清查核对，无误后签字确认。工程设备移交清单签认后，工程设备的管理责任即转移给发包人。承包人应从供货商(或供货商代理人)处得到有关技术支持的书面保证，书面保证要说明他们对其产品提供支持保证和免费咨询服务。</w:t>
      </w:r>
    </w:p>
    <w:p w14:paraId="299FA78F">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如果工程设备移交清单签认后，工程不能立即移交管理时，承包人仍应继续负责工程照管。监理人在与承包人和发包人协商后，应确定与此相关的工程照管费用补偿额并加到合同价格上，经发包人批准后通知承包人。</w:t>
      </w:r>
    </w:p>
    <w:p w14:paraId="59D47939">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5）机电设备安装应有对现有成品进行保护的措施，如有污染或损坏需要进行修复，费用由承包人承担。</w:t>
      </w:r>
    </w:p>
    <w:p w14:paraId="1ADE1C37">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6）项目施工（含安装、调试）所发生的施工用电及其费用均由承包人承担，承包人因此增加的费用应认为已包括在中标合同价格之中，发包人不另行支付。</w:t>
      </w:r>
    </w:p>
    <w:p w14:paraId="7AA28C83">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7）承包人应履行的其他义务。</w:t>
      </w:r>
    </w:p>
    <w:p w14:paraId="0615BB33">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8）所有设备及系统必须根据情况和招标人实际需求合理选择，如无法满足招标人需求，则中标人必须无条件更换。</w:t>
      </w:r>
    </w:p>
    <w:p w14:paraId="2A387099">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 xml:space="preserve">9）本项目承包人在施工过程中应严格遵守《宿迁市扬尘污染防治条例》（如有更新，执行新文件）、苏交质公（2016）35号《关于印发“全省交通建设工程工地扬尘污染防治行动方案”的通知》、苏交公〔2017〕5号省交通运输厅关于印发“江苏省绿色公路建设的实施意见”的通知、宿交发（2018）100号《市交通运输局关于印发市区交通工程扬尘污染防治管理办法（暂行）的通知》、宿污防指办（2019-62号）《关于修订宿迁市市区施工工地》扬尘重污染天气应急管控停工豁免规则的通知》、宿大气办发（2019）8 号《关于印发宿迁市市区施工工地扬尘重污染天气应急管控停工豁免规则》的通知》、苏环办（2019）254 号《关于切实加强施工工地塑料防尘网使用管理工作的通知》、《市交通运输局关于印发宿迁市交通工程扬尘污染防治管理规定的通知》（宿交发（2021）3号）等相关规定，牢固树立和切实贯彻落实环保意识，从原材料、施工机械设备、施工工艺、临时工程设施等各个方面研究并采取环保措施，承包人按相关规定自行考虑，其费用含在合同综合单价中，不单独列支。 </w:t>
      </w:r>
    </w:p>
    <w:p w14:paraId="64E3CAC1">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10）建筑工程一切险及第三者责任险由承包人以承包人与业主联名投保，投保条件与保险费率由承包人根据江苏省保险行业协会有关公路工程保险的相关规定自行考虑，该费用计入合同总价中，不单独计列。</w:t>
      </w:r>
    </w:p>
    <w:p w14:paraId="61869D6B">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承包人装备险和承包人职工的（人身）事故险均由承包人自行投保，保险费用由承包人承担并含在合同综合单价中，不单独列支。</w:t>
      </w:r>
    </w:p>
    <w:p w14:paraId="4073FE1A">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w:t>
      </w:r>
      <w:r>
        <w:rPr>
          <w:rFonts w:ascii="宋体" w:hAnsi="宋体" w:cs="宋体"/>
          <w:color w:val="000000" w:themeColor="text1"/>
          <w:kern w:val="2"/>
          <w:szCs w:val="21"/>
          <w:highlight w:val="none"/>
          <w14:textFill>
            <w14:solidFill>
              <w14:schemeClr w14:val="tx1"/>
            </w14:solidFill>
          </w14:textFill>
        </w:rPr>
        <w:t xml:space="preserve">本项目承包人在施工过程中应严格遵守《宿迁市扬尘污染防治条例》（如有更新，执行新文件）、苏交质公（2016）35号《关于印发“全省交通建设工程工地扬尘污染防治行动方案”的通知》、苏交公〔2017〕5号省交通运输厅关于印发“江苏省绿色公路建设的实施意见”的通知、宿交发（2018）100号《市交通运输局关于印发市区交通工程扬尘污染防治管理办法（暂行）的通知》、宿污防指办（2019-62号）《关于修订宿迁市市区施工工地》扬尘重污染天气应急管控停工豁免规则的通知》、宿大气办发（2019）8 号《关于印发宿迁市市区施工工地扬尘重污染天气应急管控停工豁免规则》的通知》、苏环办（2019）254 号《关于切实加强施工工地塑料防尘网使用管理工作的通知》、《市交通运输局关于印发宿迁市交通工程扬尘污染防治管理规定的通知》（宿交发（2021）3号）等相关规定，牢固树立和切实贯彻落实环保意识，从原材料、施工机械设备、施工工艺、临时工程设施等各个方面研究并采取环保措施，承包人按相关规定自行考虑，其费用含在合同综合单价中，不单独列支。 </w:t>
      </w:r>
    </w:p>
    <w:p w14:paraId="07674BA8">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ascii="宋体" w:hAnsi="宋体" w:cs="宋体"/>
          <w:color w:val="000000" w:themeColor="text1"/>
          <w:kern w:val="2"/>
          <w:szCs w:val="21"/>
          <w:highlight w:val="none"/>
          <w14:textFill>
            <w14:solidFill>
              <w14:schemeClr w14:val="tx1"/>
            </w14:solidFill>
          </w14:textFill>
        </w:rPr>
        <w:t>1</w:t>
      </w:r>
      <w:r>
        <w:rPr>
          <w:rFonts w:hint="eastAsia" w:ascii="宋体" w:hAnsi="宋体" w:cs="宋体"/>
          <w:color w:val="000000" w:themeColor="text1"/>
          <w:kern w:val="2"/>
          <w:szCs w:val="21"/>
          <w:highlight w:val="none"/>
          <w14:textFill>
            <w14:solidFill>
              <w14:schemeClr w14:val="tx1"/>
            </w14:solidFill>
          </w14:textFill>
        </w:rPr>
        <w:t>2）</w:t>
      </w:r>
      <w:r>
        <w:rPr>
          <w:rFonts w:ascii="宋体" w:hAnsi="宋体" w:cs="宋体"/>
          <w:color w:val="000000" w:themeColor="text1"/>
          <w:kern w:val="2"/>
          <w:szCs w:val="21"/>
          <w:highlight w:val="none"/>
          <w14:textFill>
            <w14:solidFill>
              <w14:schemeClr w14:val="tx1"/>
            </w14:solidFill>
          </w14:textFill>
        </w:rPr>
        <w:t>承包人在施工过程中应在服从全局、保障施工期的基础上，遵循发包人、公安、交通、城管等行政部门提出的相关要求，制定详细可行的交通组织方案及临时安全设施设置方案，并经发包人同意且通过公安、交通、城管等行政部门的行政审批。承包人的投标报价中应充分考虑相关行政部门可能收取的各项费用、规费以及交通导改及其所涉及到的道路导改硬化施工相关费用，上述费用均含在相关的单价或总额价内，发包人不再单独计列。</w:t>
      </w:r>
    </w:p>
    <w:p w14:paraId="651FDADC">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ascii="宋体" w:hAnsi="宋体" w:cs="宋体"/>
          <w:color w:val="000000" w:themeColor="text1"/>
          <w:kern w:val="2"/>
          <w:szCs w:val="21"/>
          <w:highlight w:val="none"/>
          <w14:textFill>
            <w14:solidFill>
              <w14:schemeClr w14:val="tx1"/>
            </w14:solidFill>
          </w14:textFill>
        </w:rPr>
        <w:t>1</w:t>
      </w:r>
      <w:r>
        <w:rPr>
          <w:rFonts w:hint="eastAsia" w:ascii="宋体" w:hAnsi="宋体" w:cs="宋体"/>
          <w:color w:val="000000" w:themeColor="text1"/>
          <w:kern w:val="2"/>
          <w:szCs w:val="21"/>
          <w:highlight w:val="none"/>
          <w14:textFill>
            <w14:solidFill>
              <w14:schemeClr w14:val="tx1"/>
            </w14:solidFill>
          </w14:textFill>
        </w:rPr>
        <w:t>3）</w:t>
      </w:r>
      <w:r>
        <w:rPr>
          <w:rFonts w:ascii="宋体" w:hAnsi="宋体" w:cs="宋体"/>
          <w:color w:val="000000" w:themeColor="text1"/>
          <w:kern w:val="2"/>
          <w:szCs w:val="21"/>
          <w:highlight w:val="none"/>
          <w14:textFill>
            <w14:solidFill>
              <w14:schemeClr w14:val="tx1"/>
            </w14:solidFill>
          </w14:textFill>
        </w:rPr>
        <w:t>承包人应充分考虑施工过程中相关施工干扰影响致使人工、机械效率降低而增加的费用，包含在相关项目的报价中，发包人将不另行支付。如因承包人采取的措施不力，交通未按规定运行而给其它部门或个人造成的一切损失，或造成工程工期的拖延或施工费用的增加，均由承包人自行负责。</w:t>
      </w:r>
    </w:p>
    <w:p w14:paraId="62320351">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ascii="宋体" w:hAnsi="宋体" w:cs="宋体"/>
          <w:color w:val="000000" w:themeColor="text1"/>
          <w:kern w:val="2"/>
          <w:szCs w:val="21"/>
          <w:highlight w:val="none"/>
          <w14:textFill>
            <w14:solidFill>
              <w14:schemeClr w14:val="tx1"/>
            </w14:solidFill>
          </w14:textFill>
        </w:rPr>
        <w:t>1</w:t>
      </w:r>
      <w:r>
        <w:rPr>
          <w:rFonts w:hint="eastAsia" w:ascii="宋体" w:hAnsi="宋体" w:cs="宋体"/>
          <w:color w:val="000000" w:themeColor="text1"/>
          <w:kern w:val="2"/>
          <w:szCs w:val="21"/>
          <w:highlight w:val="none"/>
          <w14:textFill>
            <w14:solidFill>
              <w14:schemeClr w14:val="tx1"/>
            </w14:solidFill>
          </w14:textFill>
        </w:rPr>
        <w:t>4）</w:t>
      </w:r>
      <w:r>
        <w:rPr>
          <w:rFonts w:ascii="宋体" w:hAnsi="宋体" w:cs="宋体"/>
          <w:color w:val="000000" w:themeColor="text1"/>
          <w:kern w:val="2"/>
          <w:szCs w:val="21"/>
          <w:highlight w:val="none"/>
          <w14:textFill>
            <w14:solidFill>
              <w14:schemeClr w14:val="tx1"/>
            </w14:solidFill>
          </w14:textFill>
        </w:rPr>
        <w:t>承包人应充分考虑施工过程中因杆线、管道迁改等对施工可能带来的影响，并积极配合发包人与各杆线、管线产权单位对接、协调。同时须编制临时迁改、管线保护、安全评估等专项施工方案，并按规定报审，所涉及的工期调整、窝工等间接费用由承包人自行承担，招标人不再另行支付。</w:t>
      </w:r>
    </w:p>
    <w:p w14:paraId="50F74733">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15）本项目要求承包人实施工程档案管理信息化、标准化。竣工验收合格后，在提交纸质竣工资料的同时，将项目档案数据库（含所有资料的扫描件）移交发包人，由此产生的费用在工程量清单100章“竣工文件费”中单独列支，由投标人自行报价。在本项目交、竣工验收过程中，与本项目有关的交、竣工会议相关费用等由中标人承担，含在投标报价中，不单独计列。</w:t>
      </w:r>
    </w:p>
    <w:p w14:paraId="1853440C">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16）安全评价费用含在合同综合单价中，不单独列支。招标人不另计列。</w:t>
      </w:r>
    </w:p>
    <w:p w14:paraId="4558D827">
      <w:pPr>
        <w:snapToGrid w:val="0"/>
        <w:spacing w:line="400" w:lineRule="exact"/>
        <w:ind w:firstLine="420" w:firstLineChars="200"/>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17）本项目施工过程中，如承包人质量、进度等方面不能达到发包人的要求，发包人有权对承包人的部分工程进行切割，切割后如出现费用不足情况，发包方将从承包人的其他工程款中直接扣除。且承包人需处理切割后的遗留问题，保证工程正常施工。由此所产生的一切费用、损失和影响均由承包人自行无条件承担。</w:t>
      </w:r>
    </w:p>
    <w:p w14:paraId="44FCD66E">
      <w:pPr>
        <w:snapToGrid w:val="0"/>
        <w:spacing w:line="400" w:lineRule="exact"/>
        <w:ind w:firstLine="420" w:firstLineChars="200"/>
        <w:rPr>
          <w:rFonts w:hint="default" w:ascii="宋体" w:hAnsi="宋体" w:eastAsia="宋体" w:cs="宋体"/>
          <w:color w:val="000000" w:themeColor="text1"/>
          <w:kern w:val="2"/>
          <w:szCs w:val="21"/>
          <w:highlight w:val="none"/>
          <w:lang w:val="en-US" w:eastAsia="zh-CN"/>
          <w14:textFill>
            <w14:solidFill>
              <w14:schemeClr w14:val="tx1"/>
            </w14:solidFill>
          </w14:textFill>
        </w:rPr>
      </w:pPr>
      <w:r>
        <w:rPr>
          <w:rFonts w:hint="eastAsia" w:ascii="宋体" w:hAnsi="宋体" w:cs="宋体"/>
          <w:color w:val="000000" w:themeColor="text1"/>
          <w:kern w:val="2"/>
          <w:szCs w:val="21"/>
          <w:highlight w:val="none"/>
          <w:lang w:val="en-US" w:eastAsia="zh-CN"/>
          <w14:textFill>
            <w14:solidFill>
              <w14:schemeClr w14:val="tx1"/>
            </w14:solidFill>
          </w14:textFill>
        </w:rPr>
        <w:t>18）称重系统检定费为不可竞争费，经招标人同意后由承包人委托有资质的第三方检测单位负责实施，此费用在工程量清单600 章“205治超站称重系统检定（首次）”、“桥梁称重系统检定”单独计列，计入合同总价中。</w:t>
      </w:r>
    </w:p>
    <w:p w14:paraId="37193FC6">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4.2 履约保证金</w:t>
      </w:r>
    </w:p>
    <w:p w14:paraId="27407671">
      <w:pPr>
        <w:spacing w:line="400" w:lineRule="exact"/>
        <w:ind w:firstLine="420" w:firstLineChars="200"/>
        <w:rPr>
          <w:rFonts w:ascii="宋体" w:hAnsi="宋体"/>
          <w:color w:val="000000" w:themeColor="text1"/>
          <w:kern w:val="2"/>
          <w:szCs w:val="24"/>
          <w:highlight w:val="none"/>
          <w14:textFill>
            <w14:solidFill>
              <w14:schemeClr w14:val="tx1"/>
            </w14:solidFill>
          </w14:textFill>
        </w:rPr>
      </w:pPr>
      <w:r>
        <w:rPr>
          <w:rFonts w:hint="eastAsia" w:ascii="宋体" w:hAnsi="宋体"/>
          <w:color w:val="000000" w:themeColor="text1"/>
          <w:kern w:val="2"/>
          <w:szCs w:val="24"/>
          <w:highlight w:val="none"/>
          <w14:textFill>
            <w14:solidFill>
              <w14:schemeClr w14:val="tx1"/>
            </w14:solidFill>
          </w14:textFill>
        </w:rPr>
        <w:t>履约保证金应在采购合同签订前提交，履约保证金的金额:按采购合同总价的10%计取。除银行电汇、网上银行、数字人民币外，供应商还可选用银行保函、担保公司的保证担保或保险公司的保证保险等多种形式向采购人缴纳；如使用江苏政府采购电子履约保函（保险）代替缴纳履约保证金的，履约保证金的金额按采购合同总价的 6% 计取。</w:t>
      </w:r>
    </w:p>
    <w:p w14:paraId="43818C48">
      <w:pPr>
        <w:spacing w:line="400" w:lineRule="exact"/>
        <w:ind w:firstLine="420" w:firstLineChars="200"/>
        <w:rPr>
          <w:rFonts w:ascii="宋体" w:hAnsi="宋体"/>
          <w:color w:val="000000" w:themeColor="text1"/>
          <w:kern w:val="2"/>
          <w:szCs w:val="24"/>
          <w:highlight w:val="none"/>
          <w14:textFill>
            <w14:solidFill>
              <w14:schemeClr w14:val="tx1"/>
            </w14:solidFill>
          </w14:textFill>
        </w:rPr>
      </w:pPr>
      <w:r>
        <w:rPr>
          <w:rFonts w:hint="eastAsia" w:ascii="宋体" w:hAnsi="宋体"/>
          <w:color w:val="000000" w:themeColor="text1"/>
          <w:kern w:val="2"/>
          <w:szCs w:val="24"/>
          <w:highlight w:val="none"/>
          <w14:textFill>
            <w14:solidFill>
              <w14:schemeClr w14:val="tx1"/>
            </w14:solidFill>
          </w14:textFill>
        </w:rPr>
        <w:t>履约保证金退还的方式：以银行电汇、网上银行、数字人民币形式缴纳履约保证金的，退回至供应商存款账户或供应商数字人民币账户；以保函、担保、保险等形式缴纳履约保证金的，在保函、担保、保险约定的保证期限届满之日起自行失效；</w:t>
      </w:r>
    </w:p>
    <w:p w14:paraId="75D2F628">
      <w:pPr>
        <w:spacing w:line="400" w:lineRule="exact"/>
        <w:ind w:firstLine="420" w:firstLineChars="200"/>
        <w:rPr>
          <w:rFonts w:ascii="宋体" w:hAnsi="宋体"/>
          <w:color w:val="000000" w:themeColor="text1"/>
          <w:kern w:val="2"/>
          <w:szCs w:val="24"/>
          <w:highlight w:val="none"/>
          <w14:textFill>
            <w14:solidFill>
              <w14:schemeClr w14:val="tx1"/>
            </w14:solidFill>
          </w14:textFill>
        </w:rPr>
      </w:pPr>
      <w:r>
        <w:rPr>
          <w:rFonts w:hint="eastAsia" w:ascii="宋体" w:hAnsi="宋体"/>
          <w:color w:val="000000" w:themeColor="text1"/>
          <w:kern w:val="2"/>
          <w:szCs w:val="24"/>
          <w:highlight w:val="none"/>
          <w14:textFill>
            <w14:solidFill>
              <w14:schemeClr w14:val="tx1"/>
            </w14:solidFill>
          </w14:textFill>
        </w:rPr>
        <w:t>履约保证金退还的条件：</w:t>
      </w:r>
    </w:p>
    <w:p w14:paraId="12E0C7AB">
      <w:pPr>
        <w:spacing w:line="400" w:lineRule="exact"/>
        <w:ind w:firstLine="420" w:firstLineChars="200"/>
        <w:rPr>
          <w:rFonts w:ascii="宋体" w:hAnsi="宋体"/>
          <w:color w:val="000000" w:themeColor="text1"/>
          <w:kern w:val="2"/>
          <w:szCs w:val="24"/>
          <w:highlight w:val="none"/>
          <w14:textFill>
            <w14:solidFill>
              <w14:schemeClr w14:val="tx1"/>
            </w14:solidFill>
          </w14:textFill>
        </w:rPr>
      </w:pPr>
      <w:r>
        <w:rPr>
          <w:rFonts w:hint="eastAsia" w:ascii="宋体" w:hAnsi="宋体"/>
          <w:color w:val="000000" w:themeColor="text1"/>
          <w:kern w:val="2"/>
          <w:szCs w:val="24"/>
          <w:highlight w:val="none"/>
          <w14:textFill>
            <w14:solidFill>
              <w14:schemeClr w14:val="tx1"/>
            </w14:solidFill>
          </w14:textFill>
        </w:rPr>
        <w:t>工程类项目，项目完工验收合格，出具完工证明及履约保证金收据申请退付；</w:t>
      </w:r>
    </w:p>
    <w:p w14:paraId="70D4371C">
      <w:pPr>
        <w:spacing w:line="400" w:lineRule="exact"/>
        <w:ind w:firstLine="420" w:firstLineChars="200"/>
        <w:rPr>
          <w:rFonts w:ascii="宋体" w:hAnsi="宋体"/>
          <w:color w:val="000000" w:themeColor="text1"/>
          <w:kern w:val="2"/>
          <w:szCs w:val="24"/>
          <w:highlight w:val="none"/>
          <w14:textFill>
            <w14:solidFill>
              <w14:schemeClr w14:val="tx1"/>
            </w14:solidFill>
          </w14:textFill>
        </w:rPr>
      </w:pPr>
      <w:r>
        <w:rPr>
          <w:rFonts w:hint="eastAsia" w:ascii="宋体" w:hAnsi="宋体"/>
          <w:color w:val="000000" w:themeColor="text1"/>
          <w:kern w:val="2"/>
          <w:szCs w:val="24"/>
          <w:highlight w:val="none"/>
          <w14:textFill>
            <w14:solidFill>
              <w14:schemeClr w14:val="tx1"/>
            </w14:solidFill>
          </w14:textFill>
        </w:rPr>
        <w:t>履约保证金退还时间：采购单位收到供应商退付申请后5个工作日内退还；</w:t>
      </w:r>
    </w:p>
    <w:p w14:paraId="1C96CE8D">
      <w:pPr>
        <w:spacing w:line="400" w:lineRule="exact"/>
        <w:ind w:firstLine="420" w:firstLineChars="200"/>
        <w:rPr>
          <w:rFonts w:ascii="宋体" w:hAnsi="宋体"/>
          <w:color w:val="000000" w:themeColor="text1"/>
          <w:kern w:val="2"/>
          <w:szCs w:val="24"/>
          <w:highlight w:val="none"/>
          <w14:textFill>
            <w14:solidFill>
              <w14:schemeClr w14:val="tx1"/>
            </w14:solidFill>
          </w14:textFill>
        </w:rPr>
      </w:pPr>
      <w:r>
        <w:rPr>
          <w:rFonts w:hint="eastAsia" w:ascii="宋体" w:hAnsi="宋体"/>
          <w:color w:val="000000" w:themeColor="text1"/>
          <w:kern w:val="2"/>
          <w:szCs w:val="24"/>
          <w:highlight w:val="none"/>
          <w14:textFill>
            <w14:solidFill>
              <w14:schemeClr w14:val="tx1"/>
            </w14:solidFill>
          </w14:textFill>
        </w:rPr>
        <w:t>履约保证金不予退还情形：除不可抗力外，供应商不履行与采购人订立的采购合同的，履约保证金不予退还，给采购人造成的损失超过履约保证金数额的，还应当对超过部分予以赔偿；</w:t>
      </w:r>
    </w:p>
    <w:p w14:paraId="16014639">
      <w:pPr>
        <w:spacing w:line="400" w:lineRule="exact"/>
        <w:ind w:firstLine="420" w:firstLineChars="200"/>
        <w:rPr>
          <w:rFonts w:ascii="宋体" w:hAnsi="宋体"/>
          <w:color w:val="000000" w:themeColor="text1"/>
          <w:kern w:val="2"/>
          <w:szCs w:val="24"/>
          <w:highlight w:val="none"/>
          <w14:textFill>
            <w14:solidFill>
              <w14:schemeClr w14:val="tx1"/>
            </w14:solidFill>
          </w14:textFill>
        </w:rPr>
      </w:pPr>
      <w:r>
        <w:rPr>
          <w:rFonts w:hint="eastAsia" w:ascii="宋体" w:hAnsi="宋体"/>
          <w:color w:val="000000" w:themeColor="text1"/>
          <w:kern w:val="2"/>
          <w:szCs w:val="24"/>
          <w:highlight w:val="none"/>
          <w14:textFill>
            <w14:solidFill>
              <w14:schemeClr w14:val="tx1"/>
            </w14:solidFill>
          </w14:textFill>
        </w:rPr>
        <w:t>逾期退还履约保证金的违约责任：除应当退还履约保证金外，还应当按中国人民银行同期贷款基准利率上浮 20%后的利率支付超期资金占用费，但因供应商自身原因导致无法及时退还的除外。</w:t>
      </w:r>
    </w:p>
    <w:p w14:paraId="75D164BC">
      <w:pPr>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olor w:val="000000" w:themeColor="text1"/>
          <w:kern w:val="2"/>
          <w:szCs w:val="24"/>
          <w:highlight w:val="none"/>
          <w14:textFill>
            <w14:solidFill>
              <w14:schemeClr w14:val="tx1"/>
            </w14:solidFill>
          </w14:textFill>
        </w:rPr>
        <w:t>本项目支持和鼓励供应商使用江苏政府采购电子履约保函（保险）代替缴纳履约保证金。关于办理流程、偿付等内容详见江苏省政府采购网《关于在全省政府采购领域推行电子履约保函（保险）的通知》（苏财购﹝2023﹞150号）。</w:t>
      </w:r>
    </w:p>
    <w:p w14:paraId="7AA42ECF">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4.3 分包</w:t>
      </w:r>
    </w:p>
    <w:p w14:paraId="6194FF0A">
      <w:pPr>
        <w:snapToGrid w:val="0"/>
        <w:spacing w:line="400" w:lineRule="exact"/>
        <w:ind w:firstLine="420" w:firstLineChars="200"/>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lang w:val="zh-CN" w:eastAsia="zh-CN"/>
          <w14:textFill>
            <w14:solidFill>
              <w14:schemeClr w14:val="tx1"/>
            </w14:solidFill>
          </w14:textFill>
        </w:rPr>
        <w:t>本项目禁止转包，禁止违法分包；</w:t>
      </w:r>
    </w:p>
    <w:p w14:paraId="70E9303D">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4.6 承包人人员的管理</w:t>
      </w:r>
    </w:p>
    <w:p w14:paraId="4729F865">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公路工程专用合同条款 4.6.3项末补充：</w:t>
      </w:r>
    </w:p>
    <w:p w14:paraId="67F6A085">
      <w:pPr>
        <w:snapToGrid w:val="0"/>
        <w:spacing w:line="400" w:lineRule="exact"/>
        <w:ind w:firstLine="422" w:firstLineChars="200"/>
        <w:rPr>
          <w:rFonts w:ascii="宋体" w:hAnsi="宋体" w:cs="宋体"/>
          <w:b/>
          <w:color w:val="000000" w:themeColor="text1"/>
          <w:kern w:val="2"/>
          <w:szCs w:val="21"/>
          <w:highlight w:val="none"/>
          <w14:textFill>
            <w14:solidFill>
              <w14:schemeClr w14:val="tx1"/>
            </w14:solidFill>
          </w14:textFill>
        </w:rPr>
      </w:pPr>
      <w:r>
        <w:rPr>
          <w:rFonts w:hint="eastAsia" w:ascii="宋体" w:hAnsi="宋体" w:cs="宋体"/>
          <w:b/>
          <w:color w:val="000000" w:themeColor="text1"/>
          <w:kern w:val="2"/>
          <w:szCs w:val="21"/>
          <w:highlight w:val="none"/>
          <w14:textFill>
            <w14:solidFill>
              <w14:schemeClr w14:val="tx1"/>
            </w14:solidFill>
          </w14:textFill>
        </w:rPr>
        <w:t>除工伤、死亡、不可抗力外，未经监理工程师和发包人批准，承包人不得擅自更换投标时所承诺项目管理人员。即使取得发包人的批准，承包人应按以下规定向发包人交纳违约金：</w:t>
      </w:r>
      <w:r>
        <w:rPr>
          <w:rFonts w:hint="eastAsia" w:ascii="宋体" w:hAnsi="宋体" w:cs="宋体"/>
          <w:b/>
          <w:color w:val="000000" w:themeColor="text1"/>
          <w:szCs w:val="21"/>
          <w:highlight w:val="none"/>
          <w14:textFill>
            <w14:solidFill>
              <w14:schemeClr w14:val="tx1"/>
            </w14:solidFill>
          </w14:textFill>
        </w:rPr>
        <w:t>更换项目经理每人次</w:t>
      </w:r>
      <w:r>
        <w:rPr>
          <w:rFonts w:hint="eastAsia" w:ascii="宋体" w:hAnsi="宋体" w:cs="宋体"/>
          <w:b/>
          <w:color w:val="000000" w:themeColor="text1"/>
          <w:szCs w:val="21"/>
          <w:highlight w:val="none"/>
          <w:u w:val="single"/>
          <w14:textFill>
            <w14:solidFill>
              <w14:schemeClr w14:val="tx1"/>
            </w14:solidFill>
          </w14:textFill>
        </w:rPr>
        <w:t xml:space="preserve">  5  </w:t>
      </w:r>
      <w:r>
        <w:rPr>
          <w:rFonts w:hint="eastAsia" w:ascii="宋体" w:hAnsi="宋体" w:cs="宋体"/>
          <w:b/>
          <w:color w:val="000000" w:themeColor="text1"/>
          <w:szCs w:val="21"/>
          <w:highlight w:val="none"/>
          <w14:textFill>
            <w14:solidFill>
              <w14:schemeClr w14:val="tx1"/>
            </w14:solidFill>
          </w14:textFill>
        </w:rPr>
        <w:t xml:space="preserve"> 万元人民币，更换项目总工每人次</w:t>
      </w:r>
      <w:r>
        <w:rPr>
          <w:rFonts w:hint="eastAsia" w:ascii="宋体" w:hAnsi="宋体" w:cs="宋体"/>
          <w:b/>
          <w:color w:val="000000" w:themeColor="text1"/>
          <w:szCs w:val="21"/>
          <w:highlight w:val="none"/>
          <w:u w:val="single"/>
          <w14:textFill>
            <w14:solidFill>
              <w14:schemeClr w14:val="tx1"/>
            </w14:solidFill>
          </w14:textFill>
        </w:rPr>
        <w:t xml:space="preserve">  5  </w:t>
      </w:r>
      <w:r>
        <w:rPr>
          <w:rFonts w:hint="eastAsia" w:ascii="宋体" w:hAnsi="宋体" w:cs="宋体"/>
          <w:b/>
          <w:color w:val="000000" w:themeColor="text1"/>
          <w:szCs w:val="21"/>
          <w:highlight w:val="none"/>
          <w14:textFill>
            <w14:solidFill>
              <w14:schemeClr w14:val="tx1"/>
            </w14:solidFill>
          </w14:textFill>
        </w:rPr>
        <w:t xml:space="preserve"> 万元人民币，更换其他人员每人次</w:t>
      </w:r>
      <w:r>
        <w:rPr>
          <w:rFonts w:hint="eastAsia" w:ascii="宋体" w:hAnsi="宋体" w:cs="宋体"/>
          <w:b/>
          <w:color w:val="000000" w:themeColor="text1"/>
          <w:szCs w:val="21"/>
          <w:highlight w:val="none"/>
          <w:u w:val="single"/>
          <w14:textFill>
            <w14:solidFill>
              <w14:schemeClr w14:val="tx1"/>
            </w14:solidFill>
          </w14:textFill>
        </w:rPr>
        <w:t xml:space="preserve">  2  </w:t>
      </w:r>
      <w:r>
        <w:rPr>
          <w:rFonts w:hint="eastAsia" w:ascii="宋体" w:hAnsi="宋体" w:cs="宋体"/>
          <w:b/>
          <w:color w:val="000000" w:themeColor="text1"/>
          <w:szCs w:val="21"/>
          <w:highlight w:val="none"/>
          <w14:textFill>
            <w14:solidFill>
              <w14:schemeClr w14:val="tx1"/>
            </w14:solidFill>
          </w14:textFill>
        </w:rPr>
        <w:t xml:space="preserve"> 万元人民币。 </w:t>
      </w:r>
    </w:p>
    <w:p w14:paraId="38147F35">
      <w:pPr>
        <w:widowControl/>
        <w:spacing w:line="400" w:lineRule="exact"/>
        <w:ind w:firstLine="422" w:firstLineChars="200"/>
        <w:jc w:val="lef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若擅自更换，除限期整改外，按照上述标准两倍向发包人交纳违约金。</w:t>
      </w:r>
    </w:p>
    <w:p w14:paraId="41704940">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公路工程专用合同条款 4.6 款补充第 4.6.6 项～第 4.6.7项：</w:t>
      </w:r>
    </w:p>
    <w:p w14:paraId="7EFD55D1">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4.6.6 项目经理、项目总工离开工地必须向监理人书面请假，并经发包人同意后才能离开。</w:t>
      </w:r>
    </w:p>
    <w:p w14:paraId="162C50A7">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4.6.7 除因管理原因发生重大质量安全事故不适合再任，或因生病住院、终止劳动合同关系（需提供相关部门或单位的证明材料）等无法继续履行合同责任和义务，被责令停止执业、羁押或判刑外，承包人不得提出更换项目经理、项目总工。符合上述规定确需更换的，应征得发包人同意，并经有关行业行政主管部门备案，且更换后的人员不得低于原投标承诺人员所具有的资格和业绩条件。</w:t>
      </w:r>
    </w:p>
    <w:p w14:paraId="0FBF278B">
      <w:pPr>
        <w:spacing w:line="400" w:lineRule="exact"/>
        <w:ind w:firstLine="422" w:firstLineChars="200"/>
        <w:rPr>
          <w:rFonts w:ascii="宋体" w:hAnsi="宋体" w:cs="宋体"/>
          <w:b/>
          <w:bCs/>
          <w:color w:val="000000" w:themeColor="text1"/>
          <w:kern w:val="2"/>
          <w:sz w:val="18"/>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发包人有权对承包人违约行为进行履约考核，上报上级交通行政主管部门，由上级行政主管部门核实后计入乙方不良信用档案。</w:t>
      </w:r>
    </w:p>
    <w:p w14:paraId="514382E8">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 xml:space="preserve">4.7 撤换承包人项目经理和其他人员 </w:t>
      </w:r>
    </w:p>
    <w:p w14:paraId="2B8712F9">
      <w:pPr>
        <w:widowControl/>
        <w:snapToGrid w:val="0"/>
        <w:spacing w:line="400" w:lineRule="exact"/>
        <w:ind w:firstLine="420" w:firstLineChars="200"/>
        <w:jc w:val="lef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本款补充：</w:t>
      </w:r>
    </w:p>
    <w:p w14:paraId="555FD8F4">
      <w:pPr>
        <w:widowControl/>
        <w:snapToGrid w:val="0"/>
        <w:spacing w:line="400" w:lineRule="exact"/>
        <w:ind w:firstLine="420" w:firstLineChars="200"/>
        <w:jc w:val="lef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承包人应按投标文件所承诺的项目经理、项目总工、各专业工程师及时到岗到位，承包人如要求更换项目管理人员，其申报接替人员的水平和能力不得低于被替换人员。无论任何原因，未经监理工程师和发包人批准，承包人不得擅自更换投标时所承诺项目管理人员。即使取得发包人的批准，承包人应按以下规定向发包人交纳违约金： </w:t>
      </w:r>
    </w:p>
    <w:p w14:paraId="74FECBB6">
      <w:pPr>
        <w:widowControl/>
        <w:snapToGrid w:val="0"/>
        <w:spacing w:line="400" w:lineRule="exact"/>
        <w:ind w:firstLine="420" w:firstLineChars="200"/>
        <w:jc w:val="lef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更换项目经理每人次</w:t>
      </w:r>
      <w:r>
        <w:rPr>
          <w:rFonts w:hint="eastAsia" w:ascii="宋体" w:hAnsi="宋体" w:cs="宋体"/>
          <w:color w:val="000000" w:themeColor="text1"/>
          <w:szCs w:val="21"/>
          <w:highlight w:val="none"/>
          <w:u w:val="single"/>
          <w14:textFill>
            <w14:solidFill>
              <w14:schemeClr w14:val="tx1"/>
            </w14:solidFill>
          </w14:textFill>
        </w:rPr>
        <w:t xml:space="preserve">   5 </w:t>
      </w:r>
      <w:r>
        <w:rPr>
          <w:rFonts w:hint="eastAsia" w:ascii="宋体" w:hAnsi="宋体" w:cs="宋体"/>
          <w:color w:val="000000" w:themeColor="text1"/>
          <w:szCs w:val="21"/>
          <w:highlight w:val="none"/>
          <w14:textFill>
            <w14:solidFill>
              <w14:schemeClr w14:val="tx1"/>
            </w14:solidFill>
          </w14:textFill>
        </w:rPr>
        <w:t xml:space="preserve"> 万元人民币，更换项目总工每人次</w:t>
      </w:r>
      <w:r>
        <w:rPr>
          <w:rFonts w:hint="eastAsia" w:ascii="宋体" w:hAnsi="宋体" w:cs="宋体"/>
          <w:color w:val="000000" w:themeColor="text1"/>
          <w:szCs w:val="21"/>
          <w:highlight w:val="none"/>
          <w:u w:val="single"/>
          <w14:textFill>
            <w14:solidFill>
              <w14:schemeClr w14:val="tx1"/>
            </w14:solidFill>
          </w14:textFill>
        </w:rPr>
        <w:t xml:space="preserve">   5 </w:t>
      </w:r>
      <w:r>
        <w:rPr>
          <w:rFonts w:hint="eastAsia" w:ascii="宋体" w:hAnsi="宋体" w:cs="宋体"/>
          <w:color w:val="000000" w:themeColor="text1"/>
          <w:szCs w:val="21"/>
          <w:highlight w:val="none"/>
          <w14:textFill>
            <w14:solidFill>
              <w14:schemeClr w14:val="tx1"/>
            </w14:solidFill>
          </w14:textFill>
        </w:rPr>
        <w:t xml:space="preserve"> 万元人民币，更换其他人员每人次</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 xml:space="preserve"> 万元人民币。 </w:t>
      </w:r>
    </w:p>
    <w:p w14:paraId="285C88A8">
      <w:pPr>
        <w:widowControl/>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若擅自更换，除限期整改外，按照上述标准两倍向发包人交纳违约金。</w:t>
      </w:r>
    </w:p>
    <w:p w14:paraId="07582B35">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4.11  不利物质条件</w:t>
      </w:r>
    </w:p>
    <w:p w14:paraId="5799B144">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4.11.1 不利物质条件的范围：</w:t>
      </w:r>
      <w:r>
        <w:rPr>
          <w:rFonts w:hint="eastAsia" w:ascii="宋体" w:hAnsi="宋体" w:cs="宋体"/>
          <w:color w:val="000000" w:themeColor="text1"/>
          <w:kern w:val="2"/>
          <w:szCs w:val="21"/>
          <w:highlight w:val="none"/>
          <w:u w:val="single"/>
          <w14:textFill>
            <w14:solidFill>
              <w14:schemeClr w14:val="tx1"/>
            </w14:solidFill>
          </w14:textFill>
        </w:rPr>
        <w:t xml:space="preserve">        /         </w:t>
      </w:r>
      <w:r>
        <w:rPr>
          <w:rFonts w:hint="eastAsia" w:ascii="宋体" w:hAnsi="宋体" w:cs="宋体"/>
          <w:color w:val="000000" w:themeColor="text1"/>
          <w:kern w:val="2"/>
          <w:szCs w:val="21"/>
          <w:highlight w:val="none"/>
          <w14:textFill>
            <w14:solidFill>
              <w14:schemeClr w14:val="tx1"/>
            </w14:solidFill>
          </w14:textFill>
        </w:rPr>
        <w:t>。</w:t>
      </w:r>
    </w:p>
    <w:p w14:paraId="2CACE988">
      <w:pPr>
        <w:keepNext/>
        <w:keepLines/>
        <w:spacing w:line="400" w:lineRule="exact"/>
        <w:ind w:firstLine="440" w:firstLineChars="200"/>
        <w:rPr>
          <w:rFonts w:ascii="宋体" w:hAnsi="宋体" w:cs="宋体"/>
          <w:bCs/>
          <w:color w:val="000000" w:themeColor="text1"/>
          <w:kern w:val="44"/>
          <w:sz w:val="22"/>
          <w:highlight w:val="none"/>
          <w14:textFill>
            <w14:solidFill>
              <w14:schemeClr w14:val="tx1"/>
            </w14:solidFill>
          </w14:textFill>
        </w:rPr>
      </w:pPr>
      <w:r>
        <w:rPr>
          <w:rFonts w:hint="eastAsia" w:ascii="宋体" w:hAnsi="宋体" w:cs="宋体"/>
          <w:bCs/>
          <w:color w:val="000000" w:themeColor="text1"/>
          <w:kern w:val="44"/>
          <w:sz w:val="22"/>
          <w:highlight w:val="none"/>
          <w14:textFill>
            <w14:solidFill>
              <w14:schemeClr w14:val="tx1"/>
            </w14:solidFill>
          </w14:textFill>
        </w:rPr>
        <w:t>5. 材料和工程设备</w:t>
      </w:r>
    </w:p>
    <w:p w14:paraId="765E3C8D">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5.2 发包人提供的材料和工程设备</w:t>
      </w:r>
    </w:p>
    <w:p w14:paraId="5720D543">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通用合同条款第 5.2.1 项约定为：</w:t>
      </w:r>
    </w:p>
    <w:p w14:paraId="3026E0E5">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u w:val="single"/>
          <w14:textFill>
            <w14:solidFill>
              <w14:schemeClr w14:val="tx1"/>
            </w14:solidFill>
          </w14:textFill>
        </w:rPr>
        <w:t xml:space="preserve">                     /                 </w:t>
      </w:r>
      <w:r>
        <w:rPr>
          <w:rFonts w:hint="eastAsia" w:ascii="宋体" w:hAnsi="宋体" w:cs="宋体"/>
          <w:color w:val="000000" w:themeColor="text1"/>
          <w:kern w:val="2"/>
          <w:szCs w:val="21"/>
          <w:highlight w:val="none"/>
          <w14:textFill>
            <w14:solidFill>
              <w14:schemeClr w14:val="tx1"/>
            </w14:solidFill>
          </w14:textFill>
        </w:rPr>
        <w:t>。</w:t>
      </w:r>
    </w:p>
    <w:p w14:paraId="08E6DB83">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5.4 禁止使用不合格的材料和工程设备</w:t>
      </w:r>
    </w:p>
    <w:p w14:paraId="37F17698">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通用合同条款第 5.4.2 项末尾补充：</w:t>
      </w:r>
    </w:p>
    <w:p w14:paraId="7F502B2C">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承包人还应承担由此带来的一切损失。</w:t>
      </w:r>
    </w:p>
    <w:p w14:paraId="4A8E7191">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本条增加第 5.5款如下：</w:t>
      </w:r>
    </w:p>
    <w:p w14:paraId="3E24410F">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5.5 代用设备材料的使用</w:t>
      </w:r>
    </w:p>
    <w:p w14:paraId="0618DDCF">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承包人需要使用代用设备、材料时，应经监理人认可并由发包人同意后才能使用，由此增减的合同价款双方以书面形式议定。承包人需要使用代用设备、材料，仅限于出现下列情况时：</w:t>
      </w:r>
    </w:p>
    <w:p w14:paraId="3D75386B">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(1)市场上无供应或在一定时间内突然供应短缺；</w:t>
      </w:r>
    </w:p>
    <w:p w14:paraId="779E17F0">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(2)政府或有关管理机构的后继规章、规定禁止使用；</w:t>
      </w:r>
    </w:p>
    <w:p w14:paraId="4B7A33E3">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(3)发包人或监理人要求使用其他替代品；或者承包人提出，发包人和监理人批准使用其他替代品；</w:t>
      </w:r>
    </w:p>
    <w:p w14:paraId="7FD9B8F7">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(4)任何其他可能的原因使得使用其他替代品成为必要。</w:t>
      </w:r>
    </w:p>
    <w:p w14:paraId="28C43789">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如果使用代用设备、材料，承包人应至少在被代换品按批准的进度计划将被用于工程前 14 天以书面形式通知监理人并随此通知提交下列文件：</w:t>
      </w:r>
    </w:p>
    <w:p w14:paraId="1E87CBAB">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(1)拟采用的替代品的名称、数量、规格、型号、品牌、性能、价格及其他必要的详细资料；</w:t>
      </w:r>
    </w:p>
    <w:p w14:paraId="575456F5">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(2)替代品使用的工程部位；</w:t>
      </w:r>
    </w:p>
    <w:p w14:paraId="165817D4">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(3)采用替代品的理由和原因申述；</w:t>
      </w:r>
    </w:p>
    <w:p w14:paraId="077DBD7C">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(4)替代品与合同中约定的产品之间产生的差异以及使用替代品后可能对工程产生任何方面的影响；</w:t>
      </w:r>
    </w:p>
    <w:p w14:paraId="1D2E0FFE">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(5)价格上的差异；</w:t>
      </w:r>
    </w:p>
    <w:p w14:paraId="4C4FCEA6">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(6)监理人为作出适当的决定而随时要求承包人提供的任何其他文件。</w:t>
      </w:r>
    </w:p>
    <w:p w14:paraId="23CC8326">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监理人在收到此类通知及上述文件后，应在 14 天内作出审查意见，并报发包人批准。发包人对使用替代品的批准以及承包人据此使用替代品不应解除承包人合同约定的任何责任和义务。</w:t>
      </w:r>
    </w:p>
    <w:p w14:paraId="0A29FE3F">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承包人投标选用的设备、材料因停产或升级换代，或选用的设备、材料不响应招标文件技术规范要求的，或选用的设备、材料不符合联网兼容性要求的，或不满足运营统一管理和使用需求的，需变更设备、材料品牌或规格型号的，变更引起的设备、材料单价按市场价调整，原则上不得超过原投标单价。</w:t>
      </w:r>
    </w:p>
    <w:p w14:paraId="2CC2B9AD">
      <w:pPr>
        <w:snapToGrid w:val="0"/>
        <w:spacing w:line="400" w:lineRule="exact"/>
        <w:ind w:firstLine="420" w:firstLineChars="200"/>
        <w:rPr>
          <w:rFonts w:ascii="宋体" w:hAnsi="宋体" w:cs="宋体"/>
          <w:color w:val="000000" w:themeColor="text1"/>
          <w:kern w:val="2"/>
          <w:sz w:val="18"/>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任何情况下，使用替代品都应遵守本合同中其他对设备和材料的任何约定。</w:t>
      </w:r>
    </w:p>
    <w:p w14:paraId="79388619">
      <w:pPr>
        <w:keepNext/>
        <w:keepLines/>
        <w:spacing w:line="400" w:lineRule="exact"/>
        <w:ind w:firstLine="440" w:firstLineChars="200"/>
        <w:rPr>
          <w:rFonts w:ascii="宋体" w:hAnsi="宋体" w:cs="宋体"/>
          <w:bCs/>
          <w:color w:val="000000" w:themeColor="text1"/>
          <w:kern w:val="44"/>
          <w:sz w:val="22"/>
          <w:highlight w:val="none"/>
          <w14:textFill>
            <w14:solidFill>
              <w14:schemeClr w14:val="tx1"/>
            </w14:solidFill>
          </w14:textFill>
        </w:rPr>
      </w:pPr>
      <w:r>
        <w:rPr>
          <w:rFonts w:hint="eastAsia" w:ascii="宋体" w:hAnsi="宋体" w:cs="宋体"/>
          <w:bCs/>
          <w:color w:val="000000" w:themeColor="text1"/>
          <w:kern w:val="44"/>
          <w:sz w:val="22"/>
          <w:highlight w:val="none"/>
          <w14:textFill>
            <w14:solidFill>
              <w14:schemeClr w14:val="tx1"/>
            </w14:solidFill>
          </w14:textFill>
        </w:rPr>
        <w:t>9. 施工安全、治安保卫和环境保护</w:t>
      </w:r>
    </w:p>
    <w:p w14:paraId="3DAE603F">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9.2 承包人的施工安全责任</w:t>
      </w:r>
    </w:p>
    <w:p w14:paraId="577505BB">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公路工程专用合同条款第 9.2.5 项细化为：</w:t>
      </w:r>
    </w:p>
    <w:p w14:paraId="5E7D6A47">
      <w:pPr>
        <w:spacing w:line="400" w:lineRule="exact"/>
        <w:ind w:firstLine="420" w:firstLineChars="200"/>
        <w:jc w:val="lef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9.2.5 施工期间，承包人必须严格执行国家、地方政府有关施工安全管理方面的法律、法规及规章制度，严格执行《公路水运工程安全生产监督管理办法》和《江苏省公路水运工程安全生产费管理办法》(苏交规(2025)1号文)，同时严格执行发包人制订的本项目安全生产管理方面的规章制度、安全检查程序及施工安全管理要求，以及监理人有关安全工作的指示，以保证达到合同规定的安全生产要求。承包人在项目实施前，应编制安全生产实施方案报发包人和相关部门审批并办理许可等相关手续，相关费用计入投标总价中，不单独计量与支付。</w:t>
      </w:r>
    </w:p>
    <w:p w14:paraId="53ECC117">
      <w:pPr>
        <w:widowControl/>
        <w:spacing w:line="400" w:lineRule="exact"/>
        <w:ind w:firstLine="420" w:firstLineChars="200"/>
        <w:jc w:val="lef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安全生产</w:t>
      </w:r>
      <w:r>
        <w:rPr>
          <w:rFonts w:hint="eastAsia" w:ascii="宋体" w:hAnsi="宋体" w:cs="宋体"/>
          <w:color w:val="000000" w:themeColor="text1"/>
          <w:kern w:val="2"/>
          <w:szCs w:val="21"/>
          <w:highlight w:val="none"/>
          <w14:textFill>
            <w14:solidFill>
              <w14:schemeClr w14:val="tx1"/>
            </w14:solidFill>
          </w14:textFill>
        </w:rPr>
        <w:t>费用应为最高投标限价的1.5%。安全生产费</w:t>
      </w:r>
      <w:r>
        <w:rPr>
          <w:rFonts w:hint="eastAsia" w:ascii="宋体" w:hAnsi="宋体" w:cs="宋体"/>
          <w:color w:val="000000" w:themeColor="text1"/>
          <w:kern w:val="2"/>
          <w:szCs w:val="21"/>
          <w:highlight w:val="none"/>
          <w14:textFill>
            <w14:solidFill>
              <w14:schemeClr w14:val="tx1"/>
            </w14:solidFill>
          </w14:textFill>
        </w:rPr>
        <w:t>的最终结算金额以实际发生的费用为准，承包人根据实际发生的费用清单总额及票据报监理工程师，由业主审批后足额拨付，但最高支付额为清单中安全生产费的报价金额。该费用应当确保专款专用，在财务管理中单独列出费用清单以备查。</w:t>
      </w:r>
    </w:p>
    <w:p w14:paraId="1BFBF3D5">
      <w:pPr>
        <w:widowControl/>
        <w:spacing w:line="400" w:lineRule="exact"/>
        <w:ind w:firstLine="420" w:firstLineChars="200"/>
        <w:jc w:val="lef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安全生产费用在合同执行过程中不随工程量的变化和设计变更而调整。因采取合同未约定的特殊防护措施增加的费用，由监理人按第3.5款商定或确定。</w:t>
      </w:r>
    </w:p>
    <w:p w14:paraId="3E5D35BF">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专用合同条款补充第 9.2.8 项第（1）目细化为：</w:t>
      </w:r>
    </w:p>
    <w:p w14:paraId="743E79E7">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承包人应按《公路水运工程安全生产监督管理办法》 、《公路水运工程施工安全标准化指南》的要求，设立安全生产管理机构，配备专职安全生产管理人员。按照年度施工产值配备专职安全生产管理人员，不足 5000 万元的至少配备一名；5000万元以上不足 2 亿元的按每 5000 万元不少于1 名的比例配备；2 亿元以上的不少于 5 名，且按专业配备。发包人可根据项目的工期和进度，提出最低的专职安全生产管理人员数量要求。</w:t>
      </w:r>
    </w:p>
    <w:p w14:paraId="5088723F">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公路工程专用合同条款第 9.4.7 项第（2）目补充以下内容：</w:t>
      </w:r>
    </w:p>
    <w:p w14:paraId="631D3688">
      <w:pPr>
        <w:spacing w:line="400" w:lineRule="exact"/>
        <w:ind w:firstLine="420" w:firstLineChars="200"/>
        <w:rPr>
          <w:rFonts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施工单位是工程扬尘污染防治主体责任单位，应严格执行项目所在地扬尘污染防治相关文件规定。</w:t>
      </w:r>
    </w:p>
    <w:p w14:paraId="465790EC">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10.1 合同进度计划</w:t>
      </w:r>
    </w:p>
    <w:p w14:paraId="47FC6B95">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公路工程专用合同条款 10.1 款中施工方案内容约定为：</w:t>
      </w:r>
    </w:p>
    <w:p w14:paraId="5D1DD8BC">
      <w:pPr>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承包人编制施工方案的内容应包括（但不限于）：</w:t>
      </w:r>
    </w:p>
    <w:p w14:paraId="24DC87B1">
      <w:pPr>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（1）整体组织方案</w:t>
      </w:r>
    </w:p>
    <w:p w14:paraId="4D880197">
      <w:pPr>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（2）工期质量保证</w:t>
      </w:r>
    </w:p>
    <w:p w14:paraId="055DE140">
      <w:pPr>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（3）安全生产及环保施工保证</w:t>
      </w:r>
    </w:p>
    <w:p w14:paraId="0EE85351">
      <w:pPr>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（4）关键工程理解及建议</w:t>
      </w:r>
    </w:p>
    <w:p w14:paraId="511EE4C6">
      <w:pPr>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（5）运行维护能力及维护质量保证</w:t>
      </w:r>
    </w:p>
    <w:p w14:paraId="058EB4FF">
      <w:pPr>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（6）主要材料与设备整体技术性能</w:t>
      </w:r>
    </w:p>
    <w:p w14:paraId="2BE41751">
      <w:pPr>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（7）主要材料与设备安装调试与售后服务</w:t>
      </w:r>
    </w:p>
    <w:p w14:paraId="79417518">
      <w:pPr>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（8）投标人认为其他应补充的内容</w:t>
      </w:r>
    </w:p>
    <w:p w14:paraId="684AFEBF">
      <w:pPr>
        <w:keepNext/>
        <w:keepLines/>
        <w:spacing w:line="400" w:lineRule="exact"/>
        <w:ind w:firstLine="440" w:firstLineChars="200"/>
        <w:rPr>
          <w:rFonts w:ascii="宋体" w:hAnsi="宋体" w:cs="宋体"/>
          <w:bCs/>
          <w:color w:val="000000" w:themeColor="text1"/>
          <w:kern w:val="44"/>
          <w:sz w:val="22"/>
          <w:highlight w:val="none"/>
          <w14:textFill>
            <w14:solidFill>
              <w14:schemeClr w14:val="tx1"/>
            </w14:solidFill>
          </w14:textFill>
        </w:rPr>
      </w:pPr>
      <w:r>
        <w:rPr>
          <w:rFonts w:hint="eastAsia" w:ascii="宋体" w:hAnsi="宋体" w:cs="宋体"/>
          <w:bCs/>
          <w:color w:val="000000" w:themeColor="text1"/>
          <w:kern w:val="44"/>
          <w:sz w:val="22"/>
          <w:highlight w:val="none"/>
          <w14:textFill>
            <w14:solidFill>
              <w14:schemeClr w14:val="tx1"/>
            </w14:solidFill>
          </w14:textFill>
        </w:rPr>
        <w:t>11. 开工和交工</w:t>
      </w:r>
    </w:p>
    <w:p w14:paraId="0B56AFEB">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11.4 异常恶劣的气候条件</w:t>
      </w:r>
    </w:p>
    <w:p w14:paraId="3CCDC3ED">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公路工程专用合同条款 11.4 款约定为：</w:t>
      </w:r>
    </w:p>
    <w:p w14:paraId="070D4135">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异常恶劣的气候条件是指六级以上地震、十级以上强风暴、龙卷风或五十年一遇以上洪水造成重大破坏等情况无法施工持续30天以上者。</w:t>
      </w:r>
    </w:p>
    <w:p w14:paraId="75426710">
      <w:pPr>
        <w:keepNext/>
        <w:keepLines/>
        <w:spacing w:line="400" w:lineRule="exact"/>
        <w:ind w:firstLine="440" w:firstLineChars="200"/>
        <w:rPr>
          <w:rFonts w:ascii="宋体" w:hAnsi="宋体" w:cs="宋体"/>
          <w:bCs/>
          <w:color w:val="000000" w:themeColor="text1"/>
          <w:kern w:val="44"/>
          <w:sz w:val="22"/>
          <w:highlight w:val="none"/>
          <w14:textFill>
            <w14:solidFill>
              <w14:schemeClr w14:val="tx1"/>
            </w14:solidFill>
          </w14:textFill>
        </w:rPr>
      </w:pPr>
      <w:r>
        <w:rPr>
          <w:rFonts w:hint="eastAsia" w:ascii="宋体" w:hAnsi="宋体" w:cs="宋体"/>
          <w:bCs/>
          <w:color w:val="000000" w:themeColor="text1"/>
          <w:kern w:val="44"/>
          <w:sz w:val="22"/>
          <w:highlight w:val="none"/>
          <w14:textFill>
            <w14:solidFill>
              <w14:schemeClr w14:val="tx1"/>
            </w14:solidFill>
          </w14:textFill>
        </w:rPr>
        <w:t>12. 暂停施工</w:t>
      </w:r>
    </w:p>
    <w:p w14:paraId="3584F91C">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12.1 承包人暂停施工的责任</w:t>
      </w:r>
    </w:p>
    <w:p w14:paraId="651A4FE1">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公路工程专用合同条款 12.1 款（6）项约定：</w:t>
      </w:r>
    </w:p>
    <w:p w14:paraId="2F424852">
      <w:pPr>
        <w:numPr>
          <w:ilvl w:val="0"/>
          <w:numId w:val="3"/>
        </w:numPr>
        <w:snapToGrid w:val="0"/>
        <w:spacing w:line="400" w:lineRule="exact"/>
        <w:ind w:firstLine="420" w:firstLineChars="200"/>
        <w:rPr>
          <w:rFonts w:ascii="宋体" w:hAnsi="宋体" w:cs="宋体"/>
          <w:color w:val="000000" w:themeColor="text1"/>
          <w:kern w:val="2"/>
          <w:szCs w:val="21"/>
          <w:highlight w:val="none"/>
          <w:u w:val="singl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由承包人承担的其他暂停施工：</w:t>
      </w:r>
      <w:r>
        <w:rPr>
          <w:rFonts w:hint="eastAsia" w:ascii="宋体" w:hAnsi="宋体" w:cs="宋体"/>
          <w:color w:val="000000" w:themeColor="text1"/>
          <w:kern w:val="2"/>
          <w:szCs w:val="21"/>
          <w:highlight w:val="none"/>
          <w:u w:val="single"/>
          <w14:textFill>
            <w14:solidFill>
              <w14:schemeClr w14:val="tx1"/>
            </w14:solidFill>
          </w14:textFill>
        </w:rPr>
        <w:t xml:space="preserve">       /         </w:t>
      </w:r>
    </w:p>
    <w:p w14:paraId="7B91A371">
      <w:pPr>
        <w:keepNext/>
        <w:keepLines/>
        <w:spacing w:line="400" w:lineRule="exact"/>
        <w:ind w:firstLine="440" w:firstLineChars="200"/>
        <w:rPr>
          <w:rFonts w:ascii="宋体" w:hAnsi="宋体" w:cs="宋体"/>
          <w:bCs/>
          <w:color w:val="000000" w:themeColor="text1"/>
          <w:kern w:val="44"/>
          <w:sz w:val="22"/>
          <w:highlight w:val="none"/>
          <w14:textFill>
            <w14:solidFill>
              <w14:schemeClr w14:val="tx1"/>
            </w14:solidFill>
          </w14:textFill>
        </w:rPr>
      </w:pPr>
      <w:r>
        <w:rPr>
          <w:rFonts w:hint="eastAsia" w:ascii="宋体" w:hAnsi="宋体" w:cs="宋体"/>
          <w:bCs/>
          <w:color w:val="000000" w:themeColor="text1"/>
          <w:kern w:val="44"/>
          <w:sz w:val="22"/>
          <w:highlight w:val="none"/>
          <w14:textFill>
            <w14:solidFill>
              <w14:schemeClr w14:val="tx1"/>
            </w14:solidFill>
          </w14:textFill>
        </w:rPr>
        <w:t>13. 工程质量</w:t>
      </w:r>
    </w:p>
    <w:p w14:paraId="297DE7A8">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13.1 工程质量要求</w:t>
      </w:r>
    </w:p>
    <w:p w14:paraId="657D64C5">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公路工程专用合同条款第 13.1.2项后增加以下内容：</w:t>
      </w:r>
    </w:p>
    <w:p w14:paraId="429511D1">
      <w:pPr>
        <w:snapToGrid w:val="0"/>
        <w:spacing w:line="400" w:lineRule="exact"/>
        <w:ind w:firstLine="422" w:firstLineChars="200"/>
        <w:rPr>
          <w:rFonts w:ascii="宋体" w:hAnsi="宋体" w:cs="宋体"/>
          <w:b/>
          <w:color w:val="000000" w:themeColor="text1"/>
          <w:kern w:val="2"/>
          <w:szCs w:val="21"/>
          <w:highlight w:val="none"/>
          <w14:textFill>
            <w14:solidFill>
              <w14:schemeClr w14:val="tx1"/>
            </w14:solidFill>
          </w14:textFill>
        </w:rPr>
      </w:pPr>
      <w:r>
        <w:rPr>
          <w:rFonts w:hint="eastAsia" w:ascii="宋体" w:hAnsi="宋体" w:cs="宋体"/>
          <w:b/>
          <w:color w:val="000000" w:themeColor="text1"/>
          <w:kern w:val="2"/>
          <w:szCs w:val="21"/>
          <w:highlight w:val="none"/>
          <w14:textFill>
            <w14:solidFill>
              <w14:schemeClr w14:val="tx1"/>
            </w14:solidFill>
          </w14:textFill>
        </w:rPr>
        <w:t xml:space="preserve">在工程经过验收并计量之后的任何时候，因任何方式（包括政府质量监督部门、发包人或监理人组织的各类检查）发现的关键工程质量不合格、工序不规范造成质量隐患，承包人应负责自费返工。 </w:t>
      </w:r>
    </w:p>
    <w:p w14:paraId="4C5D4DCA">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13.2 承包人的质量管理</w:t>
      </w:r>
    </w:p>
    <w:p w14:paraId="1F0C6EFC">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公路工程专用合同条款补充第 13.2.11、</w:t>
      </w:r>
      <w:r>
        <w:rPr>
          <w:rFonts w:hint="eastAsia" w:ascii="宋体" w:hAnsi="宋体" w:cs="宋体"/>
          <w:bCs/>
          <w:color w:val="000000" w:themeColor="text1"/>
          <w:kern w:val="44"/>
          <w:szCs w:val="21"/>
          <w:highlight w:val="none"/>
          <w14:textFill>
            <w14:solidFill>
              <w14:schemeClr w14:val="tx1"/>
            </w14:solidFill>
          </w14:textFill>
        </w:rPr>
        <w:t>13.2.12、13.2.13</w:t>
      </w:r>
      <w:r>
        <w:rPr>
          <w:rFonts w:hint="eastAsia" w:ascii="宋体" w:hAnsi="宋体" w:cs="宋体"/>
          <w:color w:val="000000" w:themeColor="text1"/>
          <w:kern w:val="2"/>
          <w:szCs w:val="21"/>
          <w:highlight w:val="none"/>
          <w14:textFill>
            <w14:solidFill>
              <w14:schemeClr w14:val="tx1"/>
            </w14:solidFill>
          </w14:textFill>
        </w:rPr>
        <w:t>项：</w:t>
      </w:r>
    </w:p>
    <w:p w14:paraId="71D3EC20">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13.2.11 承包人施工过程中存在偷工减料、以次充好（含产品品牌、型号弄虚作假），企图蒙骗发包人、监理人的，属于承包人违约，经发包人发现确认，将予以书面通报并按涉及金额的双倍扣留违约金。情节严重的，发包人有权单方面终止合同，另选承包人进行剩余工程的施工。</w:t>
      </w:r>
    </w:p>
    <w:p w14:paraId="0A9B39AB">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13.2.12 承包人应接受交通质监机构对其工程施工质量的监督与检查，凡工程质量不合格的将不验收、不支付。并应自费拆除重建。</w:t>
      </w:r>
    </w:p>
    <w:p w14:paraId="07DD0948">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13.2.13 承包人必须建立针对本合同的施工质量保证系，做到“横向到边、纵向到底、控制有效”，加强施工过程中的自检、互检和交接检工作。</w:t>
      </w:r>
    </w:p>
    <w:p w14:paraId="4BAD670F">
      <w:pPr>
        <w:keepNext/>
        <w:keepLines/>
        <w:spacing w:line="400" w:lineRule="exact"/>
        <w:rPr>
          <w:rFonts w:ascii="宋体" w:hAnsi="宋体" w:cs="宋体"/>
          <w:bCs/>
          <w:color w:val="000000" w:themeColor="text1"/>
          <w:kern w:val="44"/>
          <w:sz w:val="22"/>
          <w:highlight w:val="none"/>
          <w14:textFill>
            <w14:solidFill>
              <w14:schemeClr w14:val="tx1"/>
            </w14:solidFill>
          </w14:textFill>
        </w:rPr>
      </w:pPr>
      <w:r>
        <w:rPr>
          <w:rFonts w:hint="eastAsia" w:ascii="宋体" w:hAnsi="宋体" w:cs="宋体"/>
          <w:bCs/>
          <w:color w:val="000000" w:themeColor="text1"/>
          <w:kern w:val="44"/>
          <w:sz w:val="22"/>
          <w:highlight w:val="none"/>
          <w14:textFill>
            <w14:solidFill>
              <w14:schemeClr w14:val="tx1"/>
            </w14:solidFill>
          </w14:textFill>
        </w:rPr>
        <w:t>14. 试验和检验</w:t>
      </w:r>
    </w:p>
    <w:p w14:paraId="6EA01E59">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14.1 材料、工程设备和工程的试验和检验</w:t>
      </w:r>
    </w:p>
    <w:p w14:paraId="17E16C18">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通用合同条款补充第14.1.4、14.1.5和14.1.5项：</w:t>
      </w:r>
    </w:p>
    <w:p w14:paraId="0EDB6F29">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14.1.4 工厂测试与检验</w:t>
      </w:r>
    </w:p>
    <w:p w14:paraId="4291B935">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监理工程师和发包人视情可能将派员去承包人制造厂或设备供应商加工厂对设备进行检查和监造，承包人承担组织、协调工作。</w:t>
      </w:r>
    </w:p>
    <w:p w14:paraId="4CBD0AAE">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14.1.5设备材料的到货检（试）验与拒收</w:t>
      </w:r>
    </w:p>
    <w:p w14:paraId="0166D0A9">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根据设备材料的供货计划，设备材料到货后，承包人必须及时编制开箱报验单，写明设备材料的名称、规格型号、数量、包装、质量情况、随机备件附件资料等，经自验合格后，请监理人进行设备材料的到货检（试）验，确认合格后，才能用于工程。</w:t>
      </w:r>
    </w:p>
    <w:p w14:paraId="1F12DA20">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如果监理人根据本条的检查或检验的结果，确定设备或材料有缺陷或不符合合同要求，监理人可以拒收设备或材料，并就此立即通知承包人，说明监理人的拒收与理由。承包人应立即修复所述缺陷，或替换被拒收的设备或材料，使其符合合同的规定，并提交监理人复验。如果监理人要求在相同条件下进行或重做被拒收设备或材料的检验，则重复检验所发生的全部费用由承包人负责，由发包人从承包人相应款项中扣回，监理人应通知承包人，抄送发包人。</w:t>
      </w:r>
    </w:p>
    <w:p w14:paraId="20C249E5">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14.1.6 属于承包人的试验和检验需要外委其他试验和检验单位进行时，外委试验和检验单位除应具有国家技术监督局或专业机构的认证资格外，应事先报发包人审批。</w:t>
      </w:r>
    </w:p>
    <w:p w14:paraId="6D7F4074">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14.4 试验和检验费用</w:t>
      </w:r>
    </w:p>
    <w:p w14:paraId="68DD62FD">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公路工程专用合同条款补充14.4（4）目：</w:t>
      </w:r>
    </w:p>
    <w:p w14:paraId="31D0B09C">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4）发包人有权对承包人施工质量随时进行抽检，并通过监理人对工程质量实施否决，承包人应积极配合并免费提供试验用的试件、仪器设备。承包人为配合上述工作发生的材料、机械、人工等费用不另行支付。</w:t>
      </w:r>
    </w:p>
    <w:p w14:paraId="70516CD0">
      <w:pPr>
        <w:keepNext/>
        <w:keepLines/>
        <w:spacing w:line="400" w:lineRule="exact"/>
        <w:ind w:firstLine="440" w:firstLineChars="200"/>
        <w:rPr>
          <w:rFonts w:ascii="宋体" w:hAnsi="宋体" w:cs="宋体"/>
          <w:bCs/>
          <w:color w:val="000000" w:themeColor="text1"/>
          <w:kern w:val="44"/>
          <w:sz w:val="22"/>
          <w:highlight w:val="none"/>
          <w14:textFill>
            <w14:solidFill>
              <w14:schemeClr w14:val="tx1"/>
            </w14:solidFill>
          </w14:textFill>
        </w:rPr>
      </w:pPr>
      <w:r>
        <w:rPr>
          <w:rFonts w:hint="eastAsia" w:ascii="宋体" w:hAnsi="宋体" w:cs="宋体"/>
          <w:bCs/>
          <w:color w:val="000000" w:themeColor="text1"/>
          <w:kern w:val="44"/>
          <w:sz w:val="22"/>
          <w:highlight w:val="none"/>
          <w14:textFill>
            <w14:solidFill>
              <w14:schemeClr w14:val="tx1"/>
            </w14:solidFill>
          </w14:textFill>
        </w:rPr>
        <w:t>15. 变更</w:t>
      </w:r>
    </w:p>
    <w:p w14:paraId="751017F9">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15.3 变更程序</w:t>
      </w:r>
    </w:p>
    <w:p w14:paraId="1EA76A86">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公路工程专用合同条款第 15.3.4 项细化为：</w:t>
      </w:r>
    </w:p>
    <w:p w14:paraId="48B890DA">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本项目所有工程内容的设计变更程序、方法均执行交通运输部《公路工程设计变更管理办法》、江苏省交通运输厅《江苏省公路水运建设工程设计变更管理办法》和发包人制订的《设计变更管理办法》等相关规定和要求。</w:t>
      </w:r>
    </w:p>
    <w:p w14:paraId="4B4894BF">
      <w:pPr>
        <w:keepNext/>
        <w:keepLines/>
        <w:spacing w:line="400" w:lineRule="exact"/>
        <w:ind w:firstLine="440" w:firstLineChars="200"/>
        <w:rPr>
          <w:rFonts w:ascii="宋体" w:hAnsi="宋体" w:cs="宋体"/>
          <w:bCs/>
          <w:color w:val="000000" w:themeColor="text1"/>
          <w:kern w:val="44"/>
          <w:sz w:val="22"/>
          <w:highlight w:val="none"/>
          <w14:textFill>
            <w14:solidFill>
              <w14:schemeClr w14:val="tx1"/>
            </w14:solidFill>
          </w14:textFill>
        </w:rPr>
      </w:pPr>
      <w:r>
        <w:rPr>
          <w:rFonts w:hint="eastAsia" w:ascii="宋体" w:hAnsi="宋体" w:cs="宋体"/>
          <w:bCs/>
          <w:color w:val="000000" w:themeColor="text1"/>
          <w:kern w:val="44"/>
          <w:sz w:val="22"/>
          <w:highlight w:val="none"/>
          <w14:textFill>
            <w14:solidFill>
              <w14:schemeClr w14:val="tx1"/>
            </w14:solidFill>
          </w14:textFill>
        </w:rPr>
        <w:t>16. 价格调整</w:t>
      </w:r>
    </w:p>
    <w:p w14:paraId="65B6739C">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16.1 物价波动引起的价格调整</w:t>
      </w:r>
    </w:p>
    <w:p w14:paraId="4E2ABE12">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本款约定为：</w:t>
      </w:r>
    </w:p>
    <w:p w14:paraId="0C6B5832">
      <w:pPr>
        <w:snapToGrid w:val="0"/>
        <w:spacing w:line="400" w:lineRule="exact"/>
        <w:ind w:firstLine="420" w:firstLineChars="200"/>
        <w:rPr>
          <w:rFonts w:ascii="宋体" w:hAnsi="宋体" w:cs="宋体"/>
          <w:color w:val="000000" w:themeColor="text1"/>
          <w:kern w:val="2"/>
          <w:sz w:val="18"/>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在合同执行期间（包括工期拖延期间）由于人工、材料和设备价格的上涨而引起工程施工成本增加的风险由承包人自行承担，合同价格不会因此而调整。</w:t>
      </w:r>
    </w:p>
    <w:p w14:paraId="7047AFE1">
      <w:pPr>
        <w:keepNext/>
        <w:keepLines/>
        <w:spacing w:line="400" w:lineRule="exact"/>
        <w:ind w:firstLine="440" w:firstLineChars="200"/>
        <w:rPr>
          <w:rFonts w:ascii="宋体" w:hAnsi="宋体" w:cs="宋体"/>
          <w:bCs/>
          <w:color w:val="000000" w:themeColor="text1"/>
          <w:kern w:val="44"/>
          <w:sz w:val="22"/>
          <w:highlight w:val="none"/>
          <w14:textFill>
            <w14:solidFill>
              <w14:schemeClr w14:val="tx1"/>
            </w14:solidFill>
          </w14:textFill>
        </w:rPr>
      </w:pPr>
      <w:r>
        <w:rPr>
          <w:rFonts w:hint="eastAsia" w:ascii="宋体" w:hAnsi="宋体" w:cs="宋体"/>
          <w:bCs/>
          <w:color w:val="000000" w:themeColor="text1"/>
          <w:kern w:val="44"/>
          <w:sz w:val="22"/>
          <w:highlight w:val="none"/>
          <w14:textFill>
            <w14:solidFill>
              <w14:schemeClr w14:val="tx1"/>
            </w14:solidFill>
          </w14:textFill>
        </w:rPr>
        <w:t>17. 计量与支付</w:t>
      </w:r>
    </w:p>
    <w:p w14:paraId="28B2C9AC">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17.1  计量</w:t>
      </w:r>
    </w:p>
    <w:p w14:paraId="032EA7E3">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17.1.5 总价子目的计量</w:t>
      </w:r>
    </w:p>
    <w:p w14:paraId="09A27AF9">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公路工程专用合同条款第 17.1.5项约定为：</w:t>
      </w:r>
    </w:p>
    <w:p w14:paraId="2C87A5A1">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本项目工程量清单中要求承包人以“总额”方式报价的子目，各子目的支付原则和支付进度按本合同文件工程量清单计量规则中的规定执行。</w:t>
      </w:r>
    </w:p>
    <w:p w14:paraId="68B4EFB2">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 xml:space="preserve">17.3 工程进度付款 </w:t>
      </w:r>
    </w:p>
    <w:p w14:paraId="2B88B611">
      <w:pPr>
        <w:snapToGrid w:val="0"/>
        <w:spacing w:line="400" w:lineRule="exact"/>
        <w:ind w:firstLine="422" w:firstLineChars="200"/>
        <w:rPr>
          <w:rFonts w:ascii="宋体" w:hAnsi="宋体" w:cs="宋体"/>
          <w:color w:val="000000" w:themeColor="text1"/>
          <w:kern w:val="2"/>
          <w:sz w:val="18"/>
          <w:szCs w:val="21"/>
          <w:highlight w:val="none"/>
          <w14:textFill>
            <w14:solidFill>
              <w14:schemeClr w14:val="tx1"/>
            </w14:solidFill>
          </w14:textFill>
        </w:rPr>
      </w:pPr>
      <w:r>
        <w:rPr>
          <w:rFonts w:hint="eastAsia" w:ascii="宋体" w:hAnsi="宋体" w:cs="宋体"/>
          <w:b/>
          <w:color w:val="000000" w:themeColor="text1"/>
          <w:kern w:val="2"/>
          <w:szCs w:val="21"/>
          <w:highlight w:val="none"/>
          <w14:textFill>
            <w14:solidFill>
              <w14:schemeClr w14:val="tx1"/>
            </w14:solidFill>
          </w14:textFill>
        </w:rPr>
        <w:t xml:space="preserve">17.3.3 进度付款证书和支付时间 </w:t>
      </w:r>
    </w:p>
    <w:p w14:paraId="332D3766">
      <w:pPr>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合同签订后，承包人向发包人提供合同价10%的预付款保函后，发包人支付合同价的10%作为预付款；联调联试合格交工验收后支付至合同价款的80%；缺陷责任期满后支付剩余</w:t>
      </w:r>
      <w:r>
        <w:rPr>
          <w:rFonts w:hint="eastAsia" w:ascii="宋体" w:hAnsi="宋体" w:cs="宋体"/>
          <w:color w:val="000000" w:themeColor="text1"/>
          <w:kern w:val="2"/>
          <w:szCs w:val="21"/>
          <w:highlight w:val="none"/>
          <w:lang w:val="en-US" w:eastAsia="zh-CN"/>
          <w14:textFill>
            <w14:solidFill>
              <w14:schemeClr w14:val="tx1"/>
            </w14:solidFill>
          </w14:textFill>
        </w:rPr>
        <w:t>合同价款</w:t>
      </w:r>
      <w:r>
        <w:rPr>
          <w:rFonts w:hint="eastAsia" w:ascii="宋体" w:hAnsi="宋体" w:cs="宋体"/>
          <w:color w:val="000000" w:themeColor="text1"/>
          <w:kern w:val="2"/>
          <w:szCs w:val="21"/>
          <w:highlight w:val="none"/>
          <w14:textFill>
            <w14:solidFill>
              <w14:schemeClr w14:val="tx1"/>
            </w14:solidFill>
          </w14:textFill>
        </w:rPr>
        <w:t>。</w:t>
      </w:r>
    </w:p>
    <w:p w14:paraId="315D41CB">
      <w:pPr>
        <w:spacing w:line="400" w:lineRule="exact"/>
        <w:ind w:firstLine="420" w:firstLineChars="200"/>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注：</w:t>
      </w:r>
    </w:p>
    <w:p w14:paraId="21AB7427">
      <w:pPr>
        <w:spacing w:line="400" w:lineRule="exact"/>
        <w:ind w:firstLine="420" w:firstLineChars="200"/>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1.在签订合同时，中标人明确表示无需预付款或者主动要求降低预付款比例的金额，采购人可不适用预付款规定；</w:t>
      </w:r>
    </w:p>
    <w:p w14:paraId="1E5081AF">
      <w:pPr>
        <w:spacing w:line="400" w:lineRule="exact"/>
        <w:ind w:firstLine="420" w:firstLineChars="200"/>
        <w:rPr>
          <w:rFonts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2.对于满足合同约定支付条件的，自收到发票后10个工作日内将资金支付到合同约定的供应商账户或供应商数字人民币账户。</w:t>
      </w:r>
    </w:p>
    <w:p w14:paraId="63C7FF81">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 xml:space="preserve">本款补充第17.3.5项： </w:t>
      </w:r>
    </w:p>
    <w:p w14:paraId="0F40FD56">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17.3.5 农民工工资保证金</w:t>
      </w:r>
    </w:p>
    <w:p w14:paraId="151D5317">
      <w:pPr>
        <w:spacing w:line="400" w:lineRule="exact"/>
        <w:ind w:firstLine="422" w:firstLineChars="200"/>
        <w:rPr>
          <w:rFonts w:ascii="宋体" w:hAnsi="宋体" w:cs="宋体"/>
          <w:b/>
          <w:bCs/>
          <w:color w:val="000000" w:themeColor="text1"/>
          <w:kern w:val="2"/>
          <w:szCs w:val="21"/>
          <w:highlight w:val="none"/>
          <w14:textFill>
            <w14:solidFill>
              <w14:schemeClr w14:val="tx1"/>
            </w14:solidFill>
          </w14:textFill>
        </w:rPr>
      </w:pPr>
      <w:r>
        <w:rPr>
          <w:rFonts w:hint="eastAsia" w:ascii="宋体" w:hAnsi="宋体" w:cs="宋体"/>
          <w:b/>
          <w:bCs/>
          <w:color w:val="000000" w:themeColor="text1"/>
          <w:kern w:val="2"/>
          <w:szCs w:val="21"/>
          <w:highlight w:val="none"/>
          <w14:textFill>
            <w14:solidFill>
              <w14:schemeClr w14:val="tx1"/>
            </w14:solidFill>
          </w14:textFill>
        </w:rPr>
        <w:t>农民工工资保证金的缴存时间:签订施工合同协议书后14日内。</w:t>
      </w:r>
    </w:p>
    <w:p w14:paraId="29F0A3A8">
      <w:pPr>
        <w:spacing w:line="400" w:lineRule="exact"/>
        <w:ind w:firstLine="422" w:firstLineChars="200"/>
        <w:rPr>
          <w:rFonts w:ascii="宋体" w:hAnsi="宋体" w:cs="宋体"/>
          <w:b/>
          <w:bCs/>
          <w:color w:val="000000" w:themeColor="text1"/>
          <w:kern w:val="2"/>
          <w:szCs w:val="21"/>
          <w:highlight w:val="none"/>
          <w14:textFill>
            <w14:solidFill>
              <w14:schemeClr w14:val="tx1"/>
            </w14:solidFill>
          </w14:textFill>
        </w:rPr>
      </w:pPr>
      <w:r>
        <w:rPr>
          <w:rFonts w:hint="eastAsia" w:ascii="宋体" w:hAnsi="宋体" w:cs="宋体"/>
          <w:b/>
          <w:bCs/>
          <w:color w:val="000000" w:themeColor="text1"/>
          <w:kern w:val="2"/>
          <w:szCs w:val="21"/>
          <w:highlight w:val="none"/>
          <w14:textFill>
            <w14:solidFill>
              <w14:schemeClr w14:val="tx1"/>
            </w14:solidFill>
          </w14:textFill>
        </w:rPr>
        <w:t>农民工工资保证金的缴存金额:按相关文件执行。</w:t>
      </w:r>
    </w:p>
    <w:p w14:paraId="2F4A39EA">
      <w:pPr>
        <w:spacing w:line="400" w:lineRule="exact"/>
        <w:ind w:firstLine="422" w:firstLineChars="200"/>
        <w:rPr>
          <w:rFonts w:ascii="宋体" w:hAnsi="宋体" w:cs="宋体"/>
          <w:b/>
          <w:bCs/>
          <w:color w:val="000000" w:themeColor="text1"/>
          <w:kern w:val="2"/>
          <w:szCs w:val="21"/>
          <w:highlight w:val="none"/>
          <w14:textFill>
            <w14:solidFill>
              <w14:schemeClr w14:val="tx1"/>
            </w14:solidFill>
          </w14:textFill>
        </w:rPr>
      </w:pPr>
      <w:r>
        <w:rPr>
          <w:rFonts w:hint="eastAsia" w:ascii="宋体" w:hAnsi="宋体" w:cs="宋体"/>
          <w:b/>
          <w:bCs/>
          <w:color w:val="000000" w:themeColor="text1"/>
          <w:kern w:val="2"/>
          <w:szCs w:val="21"/>
          <w:highlight w:val="none"/>
          <w14:textFill>
            <w14:solidFill>
              <w14:schemeClr w14:val="tx1"/>
            </w14:solidFill>
          </w14:textFill>
        </w:rPr>
        <w:t>农民工工资保证金的扣留条件:承包人对民工工资不按时足额支付。</w:t>
      </w:r>
    </w:p>
    <w:p w14:paraId="54E406A9">
      <w:pPr>
        <w:spacing w:line="400" w:lineRule="exact"/>
        <w:ind w:firstLine="422" w:firstLineChars="200"/>
        <w:rPr>
          <w:rFonts w:ascii="宋体" w:hAnsi="宋体" w:cs="宋体"/>
          <w:b/>
          <w:bCs/>
          <w:color w:val="000000" w:themeColor="text1"/>
          <w:kern w:val="2"/>
          <w:szCs w:val="21"/>
          <w:highlight w:val="none"/>
          <w14:textFill>
            <w14:solidFill>
              <w14:schemeClr w14:val="tx1"/>
            </w14:solidFill>
          </w14:textFill>
        </w:rPr>
      </w:pPr>
      <w:r>
        <w:rPr>
          <w:rFonts w:hint="eastAsia" w:ascii="宋体" w:hAnsi="宋体" w:cs="宋体"/>
          <w:b/>
          <w:bCs/>
          <w:color w:val="000000" w:themeColor="text1"/>
          <w:kern w:val="2"/>
          <w:szCs w:val="21"/>
          <w:highlight w:val="none"/>
          <w14:textFill>
            <w14:solidFill>
              <w14:schemeClr w14:val="tx1"/>
            </w14:solidFill>
          </w14:textFill>
        </w:rPr>
        <w:t>农民工工资保证金的返还时间:项目交工验收合格后1个月内，并经确认施工单位不存在拖欠农民工工资情况后。</w:t>
      </w:r>
    </w:p>
    <w:p w14:paraId="6FCE4228">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17.6 最终结清</w:t>
      </w:r>
    </w:p>
    <w:p w14:paraId="27696DDD">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17.6.2 最终结清证书和支付时间</w:t>
      </w:r>
    </w:p>
    <w:p w14:paraId="739FDA18">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通用合同条款本项(2)目细化为：</w:t>
      </w:r>
    </w:p>
    <w:p w14:paraId="1F71575C">
      <w:pPr>
        <w:numPr>
          <w:ilvl w:val="0"/>
          <w:numId w:val="4"/>
        </w:num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发包人应在项目决算完成并在监理人出具最终结清证书后的 14 天内，将应支付款支付给承包人。发包人不按期支付的，按第 17.3.3（2）目的约定，将逾期付款违约金支付给承包人。</w:t>
      </w:r>
    </w:p>
    <w:p w14:paraId="100FCD37">
      <w:pPr>
        <w:keepNext/>
        <w:keepLines/>
        <w:spacing w:line="400" w:lineRule="exact"/>
        <w:ind w:firstLine="440" w:firstLineChars="200"/>
        <w:rPr>
          <w:rFonts w:ascii="宋体" w:hAnsi="宋体" w:cs="宋体"/>
          <w:bCs/>
          <w:color w:val="000000" w:themeColor="text1"/>
          <w:kern w:val="44"/>
          <w:sz w:val="22"/>
          <w:highlight w:val="none"/>
          <w14:textFill>
            <w14:solidFill>
              <w14:schemeClr w14:val="tx1"/>
            </w14:solidFill>
          </w14:textFill>
        </w:rPr>
      </w:pPr>
      <w:r>
        <w:rPr>
          <w:rFonts w:hint="eastAsia" w:ascii="宋体" w:hAnsi="宋体" w:cs="宋体"/>
          <w:bCs/>
          <w:color w:val="000000" w:themeColor="text1"/>
          <w:kern w:val="44"/>
          <w:sz w:val="22"/>
          <w:highlight w:val="none"/>
          <w14:textFill>
            <w14:solidFill>
              <w14:schemeClr w14:val="tx1"/>
            </w14:solidFill>
          </w14:textFill>
        </w:rPr>
        <w:t>18. 交工验收</w:t>
      </w:r>
    </w:p>
    <w:p w14:paraId="23A55EE2">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18.6 试运行</w:t>
      </w:r>
    </w:p>
    <w:p w14:paraId="719F0F40">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通用合同条款第 18.6.1 项细化为：</w:t>
      </w:r>
    </w:p>
    <w:p w14:paraId="22865432">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工程在设备完工并经交工测试合格后，为考核设备和系统的运行技术性能、稳定性、可靠性，承包人应配合进行工程及工程设备试运行，并负责提供必要的人员、器材等条件，同时承担相关费用。在试运行期间，承包人应对系统和所有设备的缺陷负有全部责任。</w:t>
      </w:r>
    </w:p>
    <w:p w14:paraId="7F287E66">
      <w:pPr>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补充18.6条款：</w:t>
      </w:r>
    </w:p>
    <w:p w14:paraId="17D400B6">
      <w:pPr>
        <w:spacing w:line="400" w:lineRule="exact"/>
        <w:ind w:firstLine="420" w:firstLineChars="200"/>
        <w:rPr>
          <w:rFonts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18.6.3  培训</w:t>
      </w:r>
    </w:p>
    <w:p w14:paraId="3DB8889A">
      <w:pPr>
        <w:spacing w:line="400" w:lineRule="exact"/>
        <w:ind w:firstLine="420" w:firstLineChars="200"/>
        <w:rPr>
          <w:rFonts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18.6.3.1 发包人的运行维护技术人员经过培训应能进行日常设备运行维护工作，掌握软件、硬件的操作，熟悉硬件基本功能。能熟练地分析软件、硬件信息等工作，并能有效的组织、开展业务应用能力。</w:t>
      </w:r>
    </w:p>
    <w:p w14:paraId="0BD3E61C">
      <w:pPr>
        <w:spacing w:line="400" w:lineRule="exact"/>
        <w:ind w:firstLine="420" w:firstLineChars="200"/>
        <w:rPr>
          <w:rFonts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18.6.3.2发包人的管理人员经培训后，应能负责全面的技术管理工作，了解系统建设的过程，系统功能及未来建设的规划。</w:t>
      </w:r>
    </w:p>
    <w:p w14:paraId="7A2E2D39">
      <w:pPr>
        <w:spacing w:line="400" w:lineRule="exact"/>
        <w:ind w:firstLine="420" w:firstLineChars="200"/>
        <w:rPr>
          <w:rFonts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18.6.3.3 培训课程包括理论课、实践课。主要内容包括：系统的基本工作原理、系统的设备安装情况、系统的操作和管理、系统的维修和保养、设备实物、系统图纸的查阅、系统的故障诊断等。</w:t>
      </w:r>
    </w:p>
    <w:p w14:paraId="59F8AC8A">
      <w:pPr>
        <w:keepNext/>
        <w:keepLines/>
        <w:spacing w:line="400" w:lineRule="exact"/>
        <w:ind w:firstLine="440" w:firstLineChars="200"/>
        <w:rPr>
          <w:rFonts w:ascii="宋体" w:hAnsi="宋体" w:cs="宋体"/>
          <w:bCs/>
          <w:color w:val="000000" w:themeColor="text1"/>
          <w:kern w:val="44"/>
          <w:sz w:val="22"/>
          <w:highlight w:val="none"/>
          <w14:textFill>
            <w14:solidFill>
              <w14:schemeClr w14:val="tx1"/>
            </w14:solidFill>
          </w14:textFill>
        </w:rPr>
      </w:pPr>
      <w:r>
        <w:rPr>
          <w:rFonts w:hint="eastAsia" w:ascii="宋体" w:hAnsi="宋体" w:cs="宋体"/>
          <w:bCs/>
          <w:color w:val="000000" w:themeColor="text1"/>
          <w:kern w:val="44"/>
          <w:sz w:val="22"/>
          <w:highlight w:val="none"/>
          <w14:textFill>
            <w14:solidFill>
              <w14:schemeClr w14:val="tx1"/>
            </w14:solidFill>
          </w14:textFill>
        </w:rPr>
        <w:t>20. 保险</w:t>
      </w:r>
    </w:p>
    <w:p w14:paraId="1CEFC42D">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20.6 对各项保险的一般要求</w:t>
      </w:r>
    </w:p>
    <w:p w14:paraId="6834CDB2">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20.6.4 保险金不足的补偿</w:t>
      </w:r>
    </w:p>
    <w:p w14:paraId="4828932A">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公路工程专用合同条款 20.6.4 项细化为：</w:t>
      </w:r>
    </w:p>
    <w:p w14:paraId="340059A0">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保险金的赔偿金额以有资质的公估单位确定的金额为准，免赔额和超过赔偿限额的部分由承包人承担。</w:t>
      </w:r>
    </w:p>
    <w:p w14:paraId="1C7795F1">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本款增加20.6.6项：</w:t>
      </w:r>
    </w:p>
    <w:p w14:paraId="6759D137">
      <w:pPr>
        <w:snapToGrid w:val="0"/>
        <w:spacing w:line="400" w:lineRule="exact"/>
        <w:ind w:firstLine="420" w:firstLineChars="200"/>
        <w:jc w:val="lef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除非合同中另有规定，承包人应采取必要的保险措施，保障发包人免于承受下列各种损失和索赔，对此，发包人不承担任何责任及费用。</w:t>
      </w:r>
    </w:p>
    <w:p w14:paraId="085FC41C">
      <w:pPr>
        <w:snapToGrid w:val="0"/>
        <w:spacing w:line="400" w:lineRule="exact"/>
        <w:ind w:firstLine="420" w:firstLineChars="200"/>
        <w:jc w:val="lef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⑴ 任何人员的死亡或受伤。</w:t>
      </w:r>
    </w:p>
    <w:p w14:paraId="1CB161B5">
      <w:pPr>
        <w:snapToGrid w:val="0"/>
        <w:spacing w:line="400" w:lineRule="exact"/>
        <w:ind w:firstLine="420" w:firstLineChars="200"/>
        <w:jc w:val="lef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⑵ 因工程的施工和竣工以及进行修正缺陷可能产生的或引起的对(工程以外的)任何财产的损失或损坏，以及与上述方面相关的全部索赔、诉讼、赔偿费、诉讼费、费用和开支等。</w:t>
      </w:r>
    </w:p>
    <w:p w14:paraId="66152DF3">
      <w:pPr>
        <w:keepNext/>
        <w:keepLines/>
        <w:spacing w:line="400" w:lineRule="exact"/>
        <w:ind w:firstLine="440" w:firstLineChars="200"/>
        <w:rPr>
          <w:rFonts w:ascii="宋体" w:hAnsi="宋体" w:cs="宋体"/>
          <w:bCs/>
          <w:color w:val="000000" w:themeColor="text1"/>
          <w:kern w:val="44"/>
          <w:sz w:val="22"/>
          <w:highlight w:val="none"/>
          <w14:textFill>
            <w14:solidFill>
              <w14:schemeClr w14:val="tx1"/>
            </w14:solidFill>
          </w14:textFill>
        </w:rPr>
      </w:pPr>
      <w:r>
        <w:rPr>
          <w:rFonts w:hint="eastAsia" w:ascii="宋体" w:hAnsi="宋体" w:cs="宋体"/>
          <w:bCs/>
          <w:color w:val="000000" w:themeColor="text1"/>
          <w:kern w:val="44"/>
          <w:sz w:val="22"/>
          <w:highlight w:val="none"/>
          <w14:textFill>
            <w14:solidFill>
              <w14:schemeClr w14:val="tx1"/>
            </w14:solidFill>
          </w14:textFill>
        </w:rPr>
        <w:t>21. 不可抗力</w:t>
      </w:r>
    </w:p>
    <w:p w14:paraId="3AB46DE7">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21.1 不可抗力的确认</w:t>
      </w:r>
    </w:p>
    <w:p w14:paraId="57E3201A">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公路工程专用合同条款 21.1.1（6）目约定为：</w:t>
      </w:r>
    </w:p>
    <w:p w14:paraId="739B3746">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21.1.1 (6)不可抗力的其他情形：</w:t>
      </w:r>
      <w:r>
        <w:rPr>
          <w:rFonts w:hint="eastAsia" w:ascii="宋体" w:hAnsi="宋体" w:cs="宋体"/>
          <w:color w:val="000000" w:themeColor="text1"/>
          <w:kern w:val="2"/>
          <w:szCs w:val="21"/>
          <w:highlight w:val="none"/>
          <w:u w:val="single"/>
          <w14:textFill>
            <w14:solidFill>
              <w14:schemeClr w14:val="tx1"/>
            </w14:solidFill>
          </w14:textFill>
        </w:rPr>
        <w:t xml:space="preserve">       /        </w:t>
      </w:r>
      <w:r>
        <w:rPr>
          <w:rFonts w:hint="eastAsia" w:ascii="宋体" w:hAnsi="宋体" w:cs="宋体"/>
          <w:color w:val="000000" w:themeColor="text1"/>
          <w:kern w:val="2"/>
          <w:szCs w:val="21"/>
          <w:highlight w:val="none"/>
          <w14:textFill>
            <w14:solidFill>
              <w14:schemeClr w14:val="tx1"/>
            </w14:solidFill>
          </w14:textFill>
        </w:rPr>
        <w:t>。</w:t>
      </w:r>
    </w:p>
    <w:p w14:paraId="41185CE6">
      <w:pPr>
        <w:keepNext/>
        <w:keepLines/>
        <w:spacing w:line="400" w:lineRule="exact"/>
        <w:ind w:firstLine="422" w:firstLineChars="200"/>
        <w:rPr>
          <w:rFonts w:ascii="宋体" w:hAnsi="宋体" w:cs="宋体"/>
          <w:b/>
          <w:bCs/>
          <w:color w:val="000000" w:themeColor="text1"/>
          <w:kern w:val="44"/>
          <w:szCs w:val="21"/>
          <w:highlight w:val="none"/>
          <w14:textFill>
            <w14:solidFill>
              <w14:schemeClr w14:val="tx1"/>
            </w14:solidFill>
          </w14:textFill>
        </w:rPr>
      </w:pPr>
      <w:r>
        <w:rPr>
          <w:rFonts w:hint="eastAsia" w:ascii="宋体" w:hAnsi="宋体" w:cs="宋体"/>
          <w:b/>
          <w:bCs/>
          <w:color w:val="000000" w:themeColor="text1"/>
          <w:kern w:val="44"/>
          <w:szCs w:val="21"/>
          <w:highlight w:val="none"/>
          <w14:textFill>
            <w14:solidFill>
              <w14:schemeClr w14:val="tx1"/>
            </w14:solidFill>
          </w14:textFill>
        </w:rPr>
        <w:t>22.1 承包人违约</w:t>
      </w:r>
    </w:p>
    <w:p w14:paraId="5985822D">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22.1.2 当承包人发生第 22.1.1 项约定的违约情况时，发包人有权向承包人课以违约金，具体约定为：</w:t>
      </w:r>
    </w:p>
    <w:p w14:paraId="06C049F2">
      <w:pPr>
        <w:widowControl/>
        <w:snapToGrid w:val="0"/>
        <w:spacing w:line="400" w:lineRule="exact"/>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（1）发包人可按签约时签约合同的5%-10% 的金额扣缴承包人违约金，该违约金或通知履约保函出具银行支付或在期中支付证书中扣除，即使支付了违约金，承包人仍应按合同规定继续实施和完成本合同工程及其缺陷修复；若承包人未经批准擅自撤离工地，发包人除扣除承包人的剩余工程款之外，并不承担承包人与其他承包人、供货商等的经济纠纷和法律责任，也不赔偿任何费用。</w:t>
      </w:r>
    </w:p>
    <w:p w14:paraId="576F64CC">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发包人可雇用其他承包人完成部分工程。承包人无权对此提出反对意见并应按合同规定完成合同工程其余部分的施工和缺陷修复。在这种情况下，发包人向承包人支付的合同价格中不应包括由其他承包人完成的那部分工程的价格。监理人应确定由于承包人违约而给发包人造成的费用增加和其他损失，报发包人批准，发包人有权从应付或到期应付给承包人的款项中扣除，监理人应将上述决定通知承包人，并抄送发包人；</w:t>
      </w:r>
    </w:p>
    <w:p w14:paraId="7EAEA9C6">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发包人在向承包人发出书面通知的14天之后可以进驻现场和接管工程，终止承包人对本合同工程的承包，但不因此解除合同规定承包人的任何义务和责任，或影响合同赋予发包人或监理人的各种权利和权限。发包人可自行完成该工程，或邀请其他承包人完成该工程，发包人或其他承包人为了完成本工程可以使用任何承包人设备、临时工程和材料，合同终止后的有关事宜应按照第22.1.4和22.1.5项的规定办理。</w:t>
      </w:r>
    </w:p>
    <w:p w14:paraId="2C78EE78">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此外，当承包人发生了下述违约现象之后，发包人可依据下列具体情况扣除承包人的违约金，即使交纳了违约金，承包人仍应按合同规定继续实施和完成本合同工程及其缺陷修复： </w:t>
      </w:r>
    </w:p>
    <w:p w14:paraId="6D5AE206">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①承包人在监理人规定的截止日前，承包人的项目经理、项目总工及其他管理和技术人员没有按时进场，或承包人的项目经理、项目总工及其他管理和技术人员中途离场，承包人须按以下标准向发包人支付违约金，直至缺员进场为止。发包人或监理人将对承包人的项目经理、项目总工及其他管理和技术人员实行考勤制度。</w:t>
      </w:r>
    </w:p>
    <w:p w14:paraId="4017E40D">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项目经理：5000元/天；</w:t>
      </w:r>
    </w:p>
    <w:p w14:paraId="380175CD">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项目总工：3000元/天；</w:t>
      </w:r>
    </w:p>
    <w:p w14:paraId="2A47A1DA">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其他管理和技术人员：1000元/天。</w:t>
      </w:r>
    </w:p>
    <w:p w14:paraId="4C03DB8C">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② 承包人在监理人规定的截止日前，投标文件中所列的主要机械及试验、测量设备不能按时进场，每迟到1天，承包人将按该设备的现行定额台班费的两倍向发包人支付违约金，直到设备进场为止；投标文件中所列的主要试验、 测量设备不能按时进场，每迟到1天，承包人须向发包人支付1000元/天违约金，直到设备进场为止。</w:t>
      </w:r>
    </w:p>
    <w:p w14:paraId="18F97302">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③ 在工程实施期间，未经监理人批准，承包人进场的施工机械和材料试验、质检仪器设备撤离现场，发包人将按该设备的重置价值从工程期中支付款中扣除违约金。</w:t>
      </w:r>
    </w:p>
    <w:p w14:paraId="541A00E4">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④ 在工程实施期间，承包人应制定阶段性工期目标并提交监理人批准，并努力完成工期目标。若承包人不能完成工期目标，则须向发包人支付5000元/天标准的违约金。因承包人原因而造成对社会产生不利影响的工程非正常停工，按停工造成的实际损失赔偿。</w:t>
      </w:r>
    </w:p>
    <w:p w14:paraId="519245F8">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⑤ 在施工期间，承包人若违反质量、安全、环保施工操作等相关要求，一经发包人发现，视情节轻重，向发包人支付500-5000元/次的违约金；并承担由此产生的一切费用和法律责任。</w:t>
      </w:r>
    </w:p>
    <w:p w14:paraId="5B3A582A">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⑥ 承包人在施工期间如果在各种报表及检查试验记录中自己作假或诱导监理人作假，一经查实，承包人须向发包人支付2万元/次的违约金。</w:t>
      </w:r>
    </w:p>
    <w:p w14:paraId="79BBC3E7">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⑦ 承包人应无条件接受政府有关部门、交通运输主管部门、质量监督部门、发包人、监理人的质量检查或抽查，如发现承包人出现降低施工标准或偷工减料或出现较大质量问题，承包人须按5万元/次的标准向发包人支付违约金。</w:t>
      </w:r>
    </w:p>
    <w:p w14:paraId="362A63FA">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⑧ 因承包人自身原因，在工程竣工验收时一次验收达不到合同约定的工程质量标准，除由承包人在合同期限内自行整改合格外，按照合同金额的2%支付违约金。</w:t>
      </w:r>
    </w:p>
    <w:p w14:paraId="25B0F288">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⑨ 在合同实施期间发现承包人在投标期间提供了虚假资料的，发包人有权从工程支付款中扣除不超过 5% 签约合同价的金额作为违约金。同时发包人将承包人上述弄虚作假行为上报省级交通运输主管部门，作为不良记录纳入公路水路建设市场信用信息管理系统。</w:t>
      </w:r>
    </w:p>
    <w:p w14:paraId="7B22AD3D">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⑩  在项目实施过程中，承包人应按照施工标准化有关文件进行施工标准化建设。发包人和监理将不定期检查承包人施工标准化建设情况，对于检查中发现的问题，承包人应无条件整改，直至达标。</w:t>
      </w:r>
    </w:p>
    <w:p w14:paraId="3A834AA2">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 因承包人违反规定非法转包、分包的，发包人有权单方面解除合同，立即清其出场，上报建设主管部门对承包人进行处置，对发包人造成经济损失的，承包人负责赔偿。</w:t>
      </w:r>
    </w:p>
    <w:p w14:paraId="17737CEB">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因承包人未能按时支付工人工资而造成不良社会影响的，发包人有权为安抚民工而在事先告之承包人的情况下向民工支付工资，并双倍从工程进度款中扣除，上报建设主管部门对承包人进行处置。</w:t>
      </w:r>
    </w:p>
    <w:p w14:paraId="2C17A2C6">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如承包人未在发包人规定的工期内保质保量完成，严重影响工期，发包人有权解除合同，按发包人的要求限期退场，让出工作面，对发包人造成经济损失的，承包人负责赔偿。</w:t>
      </w:r>
    </w:p>
    <w:p w14:paraId="24F14A48">
      <w:pPr>
        <w:widowControl/>
        <w:snapToGrid w:val="0"/>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除上述约定外，发包人还将按《江苏省公路水运建设市场信用信息管理办法》等相关规定将违约情况上报交通运输主管部门。</w:t>
      </w:r>
    </w:p>
    <w:p w14:paraId="1A0267B8">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 xml:space="preserve">22.2 发包人违约 </w:t>
      </w:r>
    </w:p>
    <w:p w14:paraId="2D623FB5">
      <w:pPr>
        <w:widowControl/>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22.2.2 发包人无正当理由不按时返还履约保证金、质量保证金或农民工工资保证金的，发包人应向承包人支付的违约金为：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0630C84C">
      <w:pPr>
        <w:keepNext/>
        <w:keepLines/>
        <w:spacing w:line="400" w:lineRule="exact"/>
        <w:ind w:firstLine="440" w:firstLineChars="200"/>
        <w:rPr>
          <w:rFonts w:ascii="宋体" w:hAnsi="宋体" w:cs="宋体"/>
          <w:bCs/>
          <w:color w:val="000000" w:themeColor="text1"/>
          <w:kern w:val="44"/>
          <w:sz w:val="22"/>
          <w:highlight w:val="none"/>
          <w14:textFill>
            <w14:solidFill>
              <w14:schemeClr w14:val="tx1"/>
            </w14:solidFill>
          </w14:textFill>
        </w:rPr>
      </w:pPr>
      <w:r>
        <w:rPr>
          <w:rFonts w:hint="eastAsia" w:ascii="宋体" w:hAnsi="宋体" w:cs="宋体"/>
          <w:bCs/>
          <w:color w:val="000000" w:themeColor="text1"/>
          <w:kern w:val="44"/>
          <w:sz w:val="22"/>
          <w:highlight w:val="none"/>
          <w14:textFill>
            <w14:solidFill>
              <w14:schemeClr w14:val="tx1"/>
            </w14:solidFill>
          </w14:textFill>
        </w:rPr>
        <w:t>24. 争议的解决</w:t>
      </w:r>
    </w:p>
    <w:p w14:paraId="59CDB3C9">
      <w:pPr>
        <w:keepNext/>
        <w:keepLines/>
        <w:spacing w:line="400" w:lineRule="exact"/>
        <w:ind w:firstLine="420" w:firstLineChars="200"/>
        <w:rPr>
          <w:rFonts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24.1争议的解决方式</w:t>
      </w:r>
    </w:p>
    <w:p w14:paraId="16BCC826">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本款约定：</w:t>
      </w:r>
    </w:p>
    <w:p w14:paraId="1BCD36B9">
      <w:pPr>
        <w:snapToGrid w:val="0"/>
        <w:spacing w:line="400" w:lineRule="exact"/>
        <w:ind w:firstLine="420"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合同当事人友好协商解决不成、不愿提请争议评审或不接受争议评审组意见的，发包人或承包人任何一方均有权利提交项目所在地人民法院诉讼解决。</w:t>
      </w:r>
    </w:p>
    <w:p w14:paraId="29D127CB">
      <w:pPr>
        <w:spacing w:line="400" w:lineRule="exact"/>
        <w:ind w:firstLine="420" w:firstLineChars="200"/>
        <w:jc w:val="lef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补充第25条和第26条：</w:t>
      </w:r>
    </w:p>
    <w:p w14:paraId="34E11F31">
      <w:pPr>
        <w:spacing w:line="400" w:lineRule="exact"/>
        <w:ind w:firstLine="420" w:firstLineChars="200"/>
        <w:jc w:val="lef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25．廉政建设</w:t>
      </w:r>
    </w:p>
    <w:p w14:paraId="63A24E12">
      <w:pPr>
        <w:spacing w:line="400" w:lineRule="exact"/>
        <w:ind w:firstLine="420" w:firstLineChars="200"/>
        <w:jc w:val="lef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在合同实施期间，发包人和承包人应根据交通部《关于在交通基础设施建设中加强廉政建设的若干意见》、苏交监察〔2007〕13号发布的《江苏省交通厅关于限制违反廉政合同的投标人进入交通工程建设市场的若干规定》以及有关工程建设、廉政建设的规定为做好工程建设中的党风廉政建设，保证工程建设高效优质，保证建设资金的安全和有效使用以及投资效益。</w:t>
      </w:r>
    </w:p>
    <w:p w14:paraId="33E18BEC">
      <w:pPr>
        <w:spacing w:line="400" w:lineRule="exact"/>
        <w:ind w:firstLine="420" w:firstLineChars="200"/>
        <w:jc w:val="lef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补充26款为：</w:t>
      </w:r>
    </w:p>
    <w:p w14:paraId="5A9E6CE5">
      <w:pPr>
        <w:spacing w:line="400" w:lineRule="exact"/>
        <w:ind w:firstLine="420" w:firstLineChars="200"/>
        <w:jc w:val="lef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26．履约考核</w:t>
      </w:r>
    </w:p>
    <w:p w14:paraId="2C0967A2">
      <w:pPr>
        <w:spacing w:line="400" w:lineRule="exact"/>
        <w:ind w:firstLine="420" w:firstLineChars="200"/>
        <w:jc w:val="lef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在工程实施期间，发包人将按照《江苏省公路水运建设市场信用信息管理办法》、《江苏省干线公路建设从业单位合同履约信誉考核办法》、宿迁市交通行业的相关规定以及发包人在施工过程中制定的相关管理办法对承包人的合同履约情况进行考核管理，并将履约考核结果上报上级交通行政主管部门，由上级行政主管部门核实后计入承包人信用档案。</w:t>
      </w:r>
    </w:p>
    <w:p w14:paraId="055BFD95">
      <w:pPr>
        <w:spacing w:line="400" w:lineRule="exact"/>
        <w:ind w:firstLine="420" w:firstLineChars="200"/>
        <w:jc w:val="lef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补充27款为：</w:t>
      </w:r>
    </w:p>
    <w:p w14:paraId="1BBB17F2">
      <w:pPr>
        <w:spacing w:line="400" w:lineRule="exact"/>
        <w:ind w:firstLine="420" w:firstLineChars="200"/>
        <w:rPr>
          <w:color w:val="000000" w:themeColor="text1"/>
          <w:kern w:val="2"/>
          <w:szCs w:val="24"/>
          <w:highlight w:val="none"/>
          <w14:textFill>
            <w14:solidFill>
              <w14:schemeClr w14:val="tx1"/>
            </w14:solidFill>
          </w14:textFill>
        </w:rPr>
      </w:pPr>
      <w:r>
        <w:rPr>
          <w:color w:val="000000" w:themeColor="text1"/>
          <w:kern w:val="2"/>
          <w:szCs w:val="24"/>
          <w:highlight w:val="none"/>
          <w14:textFill>
            <w14:solidFill>
              <w14:schemeClr w14:val="tx1"/>
            </w14:solidFill>
          </w14:textFill>
        </w:rPr>
        <w:t>2</w:t>
      </w:r>
      <w:r>
        <w:rPr>
          <w:rFonts w:hint="eastAsia"/>
          <w:color w:val="000000" w:themeColor="text1"/>
          <w:kern w:val="2"/>
          <w:szCs w:val="24"/>
          <w:highlight w:val="none"/>
          <w14:textFill>
            <w14:solidFill>
              <w14:schemeClr w14:val="tx1"/>
            </w14:solidFill>
          </w14:textFill>
        </w:rPr>
        <w:t>7</w:t>
      </w:r>
      <w:r>
        <w:rPr>
          <w:color w:val="000000" w:themeColor="text1"/>
          <w:kern w:val="2"/>
          <w:szCs w:val="24"/>
          <w:highlight w:val="none"/>
          <w14:textFill>
            <w14:solidFill>
              <w14:schemeClr w14:val="tx1"/>
            </w14:solidFill>
          </w14:textFill>
        </w:rPr>
        <w:t>.1</w:t>
      </w:r>
      <w:r>
        <w:rPr>
          <w:rFonts w:hint="eastAsia"/>
          <w:color w:val="000000" w:themeColor="text1"/>
          <w:kern w:val="2"/>
          <w:szCs w:val="24"/>
          <w:highlight w:val="none"/>
          <w14:textFill>
            <w14:solidFill>
              <w14:schemeClr w14:val="tx1"/>
            </w14:solidFill>
          </w14:textFill>
        </w:rPr>
        <w:t>承包人在工程实施期间，应按照国家、江苏省相关文件规定，按照节能、环保的要求进行施工，并制定相应的保障措施。</w:t>
      </w:r>
    </w:p>
    <w:p w14:paraId="71025833">
      <w:pPr>
        <w:spacing w:line="400" w:lineRule="exact"/>
        <w:ind w:firstLine="420" w:firstLineChars="200"/>
        <w:rPr>
          <w:color w:val="000000" w:themeColor="text1"/>
          <w:kern w:val="2"/>
          <w:szCs w:val="24"/>
          <w:highlight w:val="none"/>
          <w14:textFill>
            <w14:solidFill>
              <w14:schemeClr w14:val="tx1"/>
            </w14:solidFill>
          </w14:textFill>
        </w:rPr>
      </w:pPr>
      <w:r>
        <w:rPr>
          <w:color w:val="000000" w:themeColor="text1"/>
          <w:kern w:val="2"/>
          <w:szCs w:val="24"/>
          <w:highlight w:val="none"/>
          <w14:textFill>
            <w14:solidFill>
              <w14:schemeClr w14:val="tx1"/>
            </w14:solidFill>
          </w14:textFill>
        </w:rPr>
        <w:t>2</w:t>
      </w:r>
      <w:r>
        <w:rPr>
          <w:rFonts w:hint="eastAsia"/>
          <w:color w:val="000000" w:themeColor="text1"/>
          <w:kern w:val="2"/>
          <w:szCs w:val="24"/>
          <w:highlight w:val="none"/>
          <w14:textFill>
            <w14:solidFill>
              <w14:schemeClr w14:val="tx1"/>
            </w14:solidFill>
          </w14:textFill>
        </w:rPr>
        <w:t>7</w:t>
      </w:r>
      <w:r>
        <w:rPr>
          <w:color w:val="000000" w:themeColor="text1"/>
          <w:kern w:val="2"/>
          <w:szCs w:val="24"/>
          <w:highlight w:val="none"/>
          <w14:textFill>
            <w14:solidFill>
              <w14:schemeClr w14:val="tx1"/>
            </w14:solidFill>
          </w14:textFill>
        </w:rPr>
        <w:t xml:space="preserve">.2 </w:t>
      </w:r>
      <w:r>
        <w:rPr>
          <w:rFonts w:hint="eastAsia"/>
          <w:color w:val="000000" w:themeColor="text1"/>
          <w:kern w:val="2"/>
          <w:szCs w:val="24"/>
          <w:highlight w:val="none"/>
          <w14:textFill>
            <w14:solidFill>
              <w14:schemeClr w14:val="tx1"/>
            </w14:solidFill>
          </w14:textFill>
        </w:rPr>
        <w:t>承包人应做好以下节能减排管理工作：</w:t>
      </w:r>
    </w:p>
    <w:p w14:paraId="26F9AA9F">
      <w:pPr>
        <w:spacing w:line="400" w:lineRule="exact"/>
        <w:ind w:firstLine="420" w:firstLineChars="200"/>
        <w:rPr>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①</w:t>
      </w:r>
      <w:r>
        <w:rPr>
          <w:rFonts w:hint="eastAsia"/>
          <w:color w:val="000000" w:themeColor="text1"/>
          <w:kern w:val="2"/>
          <w:szCs w:val="24"/>
          <w:highlight w:val="none"/>
          <w14:textFill>
            <w14:solidFill>
              <w14:schemeClr w14:val="tx1"/>
            </w14:solidFill>
          </w14:textFill>
        </w:rPr>
        <w:t>建立健全能源消耗原始记录和设备能耗台账，按照交通运输部《原材料、能源统计报表制度》的规定，向上级报送能源消耗报表，同时应报送统计分析报告。</w:t>
      </w:r>
    </w:p>
    <w:p w14:paraId="7948981D">
      <w:pPr>
        <w:spacing w:line="400" w:lineRule="exact"/>
        <w:ind w:firstLine="420" w:firstLineChars="200"/>
        <w:rPr>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②</w:t>
      </w:r>
      <w:r>
        <w:rPr>
          <w:rFonts w:hint="eastAsia"/>
          <w:color w:val="000000" w:themeColor="text1"/>
          <w:kern w:val="2"/>
          <w:szCs w:val="24"/>
          <w:highlight w:val="none"/>
          <w14:textFill>
            <w14:solidFill>
              <w14:schemeClr w14:val="tx1"/>
            </w14:solidFill>
          </w14:textFill>
        </w:rPr>
        <w:t>建立设备用能技术档案，节能技术措施、设备运行能源消耗指标等有关节能方面的技术文件、资料要与其它技术文件同等归档。</w:t>
      </w:r>
    </w:p>
    <w:p w14:paraId="79FFC365">
      <w:pPr>
        <w:spacing w:line="400" w:lineRule="exact"/>
        <w:ind w:firstLine="420" w:firstLineChars="200"/>
        <w:rPr>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③</w:t>
      </w:r>
      <w:r>
        <w:rPr>
          <w:rFonts w:hint="eastAsia"/>
          <w:color w:val="000000" w:themeColor="text1"/>
          <w:kern w:val="2"/>
          <w:szCs w:val="24"/>
          <w:highlight w:val="none"/>
          <w14:textFill>
            <w14:solidFill>
              <w14:schemeClr w14:val="tx1"/>
            </w14:solidFill>
          </w14:textFill>
        </w:rPr>
        <w:t>加强能源计量管理，配备必要的能源计量器具。</w:t>
      </w:r>
    </w:p>
    <w:p w14:paraId="4B14722D">
      <w:pPr>
        <w:spacing w:line="400" w:lineRule="exact"/>
        <w:ind w:firstLine="420" w:firstLineChars="200"/>
        <w:rPr>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④</w:t>
      </w:r>
      <w:r>
        <w:rPr>
          <w:rFonts w:hint="eastAsia"/>
          <w:color w:val="000000" w:themeColor="text1"/>
          <w:kern w:val="2"/>
          <w:szCs w:val="24"/>
          <w:highlight w:val="none"/>
          <w14:textFill>
            <w14:solidFill>
              <w14:schemeClr w14:val="tx1"/>
            </w14:solidFill>
          </w14:textFill>
        </w:rPr>
        <w:t>承包人的技术、机务等管理部门，应实行节能管理责任制，并接受上级部门的监督检查。</w:t>
      </w:r>
    </w:p>
    <w:p w14:paraId="0CEFA943">
      <w:pPr>
        <w:spacing w:line="400" w:lineRule="exact"/>
        <w:ind w:firstLine="420" w:firstLineChars="200"/>
        <w:rPr>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⑤</w:t>
      </w:r>
      <w:r>
        <w:rPr>
          <w:rFonts w:hint="eastAsia"/>
          <w:color w:val="000000" w:themeColor="text1"/>
          <w:kern w:val="2"/>
          <w:szCs w:val="24"/>
          <w:highlight w:val="none"/>
          <w14:textFill>
            <w14:solidFill>
              <w14:schemeClr w14:val="tx1"/>
            </w14:solidFill>
          </w14:textFill>
        </w:rPr>
        <w:t>加强机械施工组织及设备管理，提高能源效率。</w:t>
      </w:r>
    </w:p>
    <w:p w14:paraId="000BCAA7">
      <w:pPr>
        <w:spacing w:line="400" w:lineRule="exact"/>
        <w:ind w:firstLine="420" w:firstLineChars="200"/>
        <w:rPr>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⑥</w:t>
      </w:r>
      <w:r>
        <w:rPr>
          <w:rFonts w:hint="eastAsia"/>
          <w:color w:val="000000" w:themeColor="text1"/>
          <w:kern w:val="2"/>
          <w:szCs w:val="24"/>
          <w:highlight w:val="none"/>
          <w14:textFill>
            <w14:solidFill>
              <w14:schemeClr w14:val="tx1"/>
            </w14:solidFill>
          </w14:textFill>
        </w:rPr>
        <w:t>大力推广应用节能</w:t>
      </w:r>
      <w:r>
        <w:rPr>
          <w:color w:val="000000" w:themeColor="text1"/>
          <w:kern w:val="2"/>
          <w:szCs w:val="24"/>
          <w:highlight w:val="none"/>
          <w14:textFill>
            <w14:solidFill>
              <w14:schemeClr w14:val="tx1"/>
            </w14:solidFill>
          </w14:textFill>
        </w:rPr>
        <w:t>“</w:t>
      </w:r>
      <w:r>
        <w:rPr>
          <w:rFonts w:hint="eastAsia"/>
          <w:color w:val="000000" w:themeColor="text1"/>
          <w:kern w:val="2"/>
          <w:szCs w:val="24"/>
          <w:highlight w:val="none"/>
          <w14:textFill>
            <w14:solidFill>
              <w14:schemeClr w14:val="tx1"/>
            </w14:solidFill>
          </w14:textFill>
        </w:rPr>
        <w:t>新技术、新工艺、新产品、新材料</w:t>
      </w:r>
      <w:r>
        <w:rPr>
          <w:color w:val="000000" w:themeColor="text1"/>
          <w:kern w:val="2"/>
          <w:szCs w:val="24"/>
          <w:highlight w:val="none"/>
          <w14:textFill>
            <w14:solidFill>
              <w14:schemeClr w14:val="tx1"/>
            </w14:solidFill>
          </w14:textFill>
        </w:rPr>
        <w:t>”</w:t>
      </w:r>
      <w:r>
        <w:rPr>
          <w:rFonts w:hint="eastAsia"/>
          <w:color w:val="000000" w:themeColor="text1"/>
          <w:kern w:val="2"/>
          <w:szCs w:val="24"/>
          <w:highlight w:val="none"/>
          <w14:textFill>
            <w14:solidFill>
              <w14:schemeClr w14:val="tx1"/>
            </w14:solidFill>
          </w14:textFill>
        </w:rPr>
        <w:t>。</w:t>
      </w:r>
    </w:p>
    <w:p w14:paraId="27EFCED5">
      <w:pPr>
        <w:spacing w:line="400" w:lineRule="exact"/>
        <w:ind w:firstLine="420" w:firstLineChars="200"/>
        <w:rPr>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⑦</w:t>
      </w:r>
      <w:r>
        <w:rPr>
          <w:rFonts w:hint="eastAsia"/>
          <w:color w:val="000000" w:themeColor="text1"/>
          <w:kern w:val="2"/>
          <w:szCs w:val="24"/>
          <w:highlight w:val="none"/>
          <w14:textFill>
            <w14:solidFill>
              <w14:schemeClr w14:val="tx1"/>
            </w14:solidFill>
          </w14:textFill>
        </w:rPr>
        <w:t>开展节能培训和群众性的节能宣传活动。</w:t>
      </w:r>
    </w:p>
    <w:p w14:paraId="3B12926F">
      <w:pPr>
        <w:spacing w:line="400" w:lineRule="exact"/>
        <w:ind w:firstLine="420" w:firstLineChars="200"/>
        <w:rPr>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⑧</w:t>
      </w:r>
      <w:r>
        <w:rPr>
          <w:rFonts w:hint="eastAsia"/>
          <w:color w:val="000000" w:themeColor="text1"/>
          <w:kern w:val="2"/>
          <w:szCs w:val="24"/>
          <w:highlight w:val="none"/>
          <w14:textFill>
            <w14:solidFill>
              <w14:schemeClr w14:val="tx1"/>
            </w14:solidFill>
          </w14:textFill>
        </w:rPr>
        <w:t>承包人要加强重点耗能设备的用能管理，建立设备能耗档案；配备能源计量器具。对设备用能实行定额考核和经济核算，同时要合理组织施工，减少设备的非生产运转，按施工生产任务和耗能定额分配指标用能。</w:t>
      </w:r>
    </w:p>
    <w:p w14:paraId="36D1C260">
      <w:pPr>
        <w:spacing w:line="400" w:lineRule="exact"/>
        <w:ind w:firstLine="420" w:firstLineChars="200"/>
        <w:rPr>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⑨</w:t>
      </w:r>
      <w:r>
        <w:rPr>
          <w:rFonts w:hint="eastAsia"/>
          <w:color w:val="000000" w:themeColor="text1"/>
          <w:kern w:val="2"/>
          <w:szCs w:val="24"/>
          <w:highlight w:val="none"/>
          <w14:textFill>
            <w14:solidFill>
              <w14:schemeClr w14:val="tx1"/>
            </w14:solidFill>
          </w14:textFill>
        </w:rPr>
        <w:t>承包人要贯彻执行设备的技术管理制度，对在用的重点耗能设备要实行经常性的维护、保养，定期检查、修理，保持良好的技术状况。</w:t>
      </w:r>
    </w:p>
    <w:p w14:paraId="44B50B0C">
      <w:pPr>
        <w:spacing w:line="400" w:lineRule="exact"/>
        <w:ind w:firstLine="420" w:firstLineChars="200"/>
        <w:rPr>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⑩</w:t>
      </w:r>
      <w:r>
        <w:rPr>
          <w:rFonts w:hint="eastAsia"/>
          <w:color w:val="000000" w:themeColor="text1"/>
          <w:kern w:val="2"/>
          <w:szCs w:val="24"/>
          <w:highlight w:val="none"/>
          <w14:textFill>
            <w14:solidFill>
              <w14:schemeClr w14:val="tx1"/>
            </w14:solidFill>
          </w14:textFill>
        </w:rPr>
        <w:t>对技术状况差、耗能高的重点耗能设备，要有停止使用、限期技术改造和更新的具体条件和措施。</w:t>
      </w:r>
    </w:p>
    <w:p w14:paraId="5D77B532">
      <w:pPr>
        <w:spacing w:line="400" w:lineRule="exact"/>
        <w:ind w:firstLine="420" w:firstLineChars="200"/>
        <w:rPr>
          <w:color w:val="000000" w:themeColor="text1"/>
          <w:kern w:val="2"/>
          <w:szCs w:val="24"/>
          <w:highlight w:val="none"/>
          <w14:textFill>
            <w14:solidFill>
              <w14:schemeClr w14:val="tx1"/>
            </w14:solidFill>
          </w14:textFill>
        </w:rPr>
      </w:pPr>
      <w:r>
        <w:rPr>
          <w:rFonts w:ascii="Cambria Math" w:hAnsi="Cambria Math" w:cs="Cambria Math"/>
          <w:color w:val="000000" w:themeColor="text1"/>
          <w:kern w:val="2"/>
          <w:szCs w:val="24"/>
          <w:highlight w:val="none"/>
          <w14:textFill>
            <w14:solidFill>
              <w14:schemeClr w14:val="tx1"/>
            </w14:solidFill>
          </w14:textFill>
        </w:rPr>
        <w:t>⑪</w:t>
      </w:r>
      <w:r>
        <w:rPr>
          <w:rFonts w:hint="eastAsia"/>
          <w:color w:val="000000" w:themeColor="text1"/>
          <w:kern w:val="2"/>
          <w:szCs w:val="24"/>
          <w:highlight w:val="none"/>
          <w14:textFill>
            <w14:solidFill>
              <w14:schemeClr w14:val="tx1"/>
            </w14:solidFill>
          </w14:textFill>
        </w:rPr>
        <w:t>重点耗能设备的节能技术改造必须通过有关节能技术部门的节能技术检测、鉴定，并提出报告，能耗指标达到规定要求的，方可用于施工。</w:t>
      </w:r>
    </w:p>
    <w:p w14:paraId="6D677C92">
      <w:pPr>
        <w:spacing w:line="400" w:lineRule="exact"/>
        <w:ind w:firstLine="420" w:firstLineChars="200"/>
        <w:rPr>
          <w:color w:val="000000" w:themeColor="text1"/>
          <w:kern w:val="2"/>
          <w:szCs w:val="24"/>
          <w:highlight w:val="none"/>
          <w14:textFill>
            <w14:solidFill>
              <w14:schemeClr w14:val="tx1"/>
            </w14:solidFill>
          </w14:textFill>
        </w:rPr>
      </w:pPr>
      <w:r>
        <w:rPr>
          <w:color w:val="000000" w:themeColor="text1"/>
          <w:kern w:val="2"/>
          <w:szCs w:val="24"/>
          <w:highlight w:val="none"/>
          <w14:textFill>
            <w14:solidFill>
              <w14:schemeClr w14:val="tx1"/>
            </w14:solidFill>
          </w14:textFill>
        </w:rPr>
        <w:t>2</w:t>
      </w:r>
      <w:r>
        <w:rPr>
          <w:rFonts w:hint="eastAsia"/>
          <w:color w:val="000000" w:themeColor="text1"/>
          <w:kern w:val="2"/>
          <w:szCs w:val="24"/>
          <w:highlight w:val="none"/>
          <w14:textFill>
            <w14:solidFill>
              <w14:schemeClr w14:val="tx1"/>
            </w14:solidFill>
          </w14:textFill>
        </w:rPr>
        <w:t>7</w:t>
      </w:r>
      <w:r>
        <w:rPr>
          <w:color w:val="000000" w:themeColor="text1"/>
          <w:kern w:val="2"/>
          <w:szCs w:val="24"/>
          <w:highlight w:val="none"/>
          <w14:textFill>
            <w14:solidFill>
              <w14:schemeClr w14:val="tx1"/>
            </w14:solidFill>
          </w14:textFill>
        </w:rPr>
        <w:t xml:space="preserve">.3 </w:t>
      </w:r>
      <w:r>
        <w:rPr>
          <w:rFonts w:hint="eastAsia"/>
          <w:color w:val="000000" w:themeColor="text1"/>
          <w:kern w:val="2"/>
          <w:szCs w:val="24"/>
          <w:highlight w:val="none"/>
          <w14:textFill>
            <w14:solidFill>
              <w14:schemeClr w14:val="tx1"/>
            </w14:solidFill>
          </w14:textFill>
        </w:rPr>
        <w:t>承包人应按本合同专用条款</w:t>
      </w:r>
      <w:r>
        <w:rPr>
          <w:color w:val="000000" w:themeColor="text1"/>
          <w:kern w:val="2"/>
          <w:szCs w:val="24"/>
          <w:highlight w:val="none"/>
          <w14:textFill>
            <w14:solidFill>
              <w14:schemeClr w14:val="tx1"/>
            </w14:solidFill>
          </w14:textFill>
        </w:rPr>
        <w:t>9.4</w:t>
      </w:r>
      <w:r>
        <w:rPr>
          <w:rFonts w:hint="eastAsia"/>
          <w:color w:val="000000" w:themeColor="text1"/>
          <w:kern w:val="2"/>
          <w:szCs w:val="24"/>
          <w:highlight w:val="none"/>
          <w14:textFill>
            <w14:solidFill>
              <w14:schemeClr w14:val="tx1"/>
            </w14:solidFill>
          </w14:textFill>
        </w:rPr>
        <w:t>款要求做好的环境保护工作外，还应做好以下工作：</w:t>
      </w:r>
    </w:p>
    <w:p w14:paraId="1F3C42B4">
      <w:pPr>
        <w:spacing w:line="400" w:lineRule="exact"/>
        <w:ind w:firstLine="420" w:firstLineChars="200"/>
        <w:rPr>
          <w:color w:val="000000" w:themeColor="text1"/>
          <w:kern w:val="2"/>
          <w:szCs w:val="24"/>
          <w:highlight w:val="none"/>
          <w14:textFill>
            <w14:solidFill>
              <w14:schemeClr w14:val="tx1"/>
            </w14:solidFill>
          </w14:textFill>
        </w:rPr>
      </w:pPr>
      <w:r>
        <w:rPr>
          <w:color w:val="000000" w:themeColor="text1"/>
          <w:kern w:val="2"/>
          <w:szCs w:val="24"/>
          <w:highlight w:val="none"/>
          <w14:textFill>
            <w14:solidFill>
              <w14:schemeClr w14:val="tx1"/>
            </w14:solidFill>
          </w14:textFill>
        </w:rPr>
        <w:t>2</w:t>
      </w:r>
      <w:r>
        <w:rPr>
          <w:rFonts w:hint="eastAsia"/>
          <w:color w:val="000000" w:themeColor="text1"/>
          <w:kern w:val="2"/>
          <w:szCs w:val="24"/>
          <w:highlight w:val="none"/>
          <w14:textFill>
            <w14:solidFill>
              <w14:schemeClr w14:val="tx1"/>
            </w14:solidFill>
          </w14:textFill>
        </w:rPr>
        <w:t>7</w:t>
      </w:r>
      <w:r>
        <w:rPr>
          <w:color w:val="000000" w:themeColor="text1"/>
          <w:kern w:val="2"/>
          <w:szCs w:val="24"/>
          <w:highlight w:val="none"/>
          <w14:textFill>
            <w14:solidFill>
              <w14:schemeClr w14:val="tx1"/>
            </w14:solidFill>
          </w14:textFill>
        </w:rPr>
        <w:t xml:space="preserve">.3.1 </w:t>
      </w:r>
      <w:r>
        <w:rPr>
          <w:rFonts w:hint="eastAsia"/>
          <w:color w:val="000000" w:themeColor="text1"/>
          <w:kern w:val="2"/>
          <w:szCs w:val="24"/>
          <w:highlight w:val="none"/>
          <w14:textFill>
            <w14:solidFill>
              <w14:schemeClr w14:val="tx1"/>
            </w14:solidFill>
          </w14:textFill>
        </w:rPr>
        <w:t>承包人应严格执行国家有关水域或环境生态保护的规定，合理选择施工船机和施工工艺，采取有效措施，减少施工对周边水域的影响。</w:t>
      </w:r>
    </w:p>
    <w:p w14:paraId="253B0A23">
      <w:pPr>
        <w:spacing w:line="400" w:lineRule="exact"/>
        <w:ind w:firstLine="420" w:firstLineChars="200"/>
        <w:rPr>
          <w:color w:val="000000" w:themeColor="text1"/>
          <w:kern w:val="2"/>
          <w:szCs w:val="24"/>
          <w:highlight w:val="none"/>
          <w14:textFill>
            <w14:solidFill>
              <w14:schemeClr w14:val="tx1"/>
            </w14:solidFill>
          </w14:textFill>
        </w:rPr>
      </w:pPr>
      <w:r>
        <w:rPr>
          <w:color w:val="000000" w:themeColor="text1"/>
          <w:kern w:val="2"/>
          <w:szCs w:val="24"/>
          <w:highlight w:val="none"/>
          <w14:textFill>
            <w14:solidFill>
              <w14:schemeClr w14:val="tx1"/>
            </w14:solidFill>
          </w14:textFill>
        </w:rPr>
        <w:t>2</w:t>
      </w:r>
      <w:r>
        <w:rPr>
          <w:rFonts w:hint="eastAsia"/>
          <w:color w:val="000000" w:themeColor="text1"/>
          <w:kern w:val="2"/>
          <w:szCs w:val="24"/>
          <w:highlight w:val="none"/>
          <w14:textFill>
            <w14:solidFill>
              <w14:schemeClr w14:val="tx1"/>
            </w14:solidFill>
          </w14:textFill>
        </w:rPr>
        <w:t>7</w:t>
      </w:r>
      <w:r>
        <w:rPr>
          <w:color w:val="000000" w:themeColor="text1"/>
          <w:kern w:val="2"/>
          <w:szCs w:val="24"/>
          <w:highlight w:val="none"/>
          <w14:textFill>
            <w14:solidFill>
              <w14:schemeClr w14:val="tx1"/>
            </w14:solidFill>
          </w14:textFill>
        </w:rPr>
        <w:t xml:space="preserve">.3.2 </w:t>
      </w:r>
      <w:r>
        <w:rPr>
          <w:rFonts w:hint="eastAsia"/>
          <w:color w:val="000000" w:themeColor="text1"/>
          <w:kern w:val="2"/>
          <w:szCs w:val="24"/>
          <w:highlight w:val="none"/>
          <w14:textFill>
            <w14:solidFill>
              <w14:schemeClr w14:val="tx1"/>
            </w14:solidFill>
          </w14:textFill>
        </w:rPr>
        <w:t>施工期间承包人应严格执行关于生态的环保措施要求，严禁捕杀珍稀水生生物，并尽可能的不采用爆破或弱爆破工艺，避免对水生生的直接伤害。禁止将废弃物、散体施工材料抛入水中。</w:t>
      </w:r>
    </w:p>
    <w:p w14:paraId="7ACBC533">
      <w:pPr>
        <w:spacing w:line="400" w:lineRule="exact"/>
        <w:ind w:firstLine="420" w:firstLineChars="200"/>
        <w:rPr>
          <w:color w:val="000000" w:themeColor="text1"/>
          <w:kern w:val="2"/>
          <w:szCs w:val="24"/>
          <w:highlight w:val="none"/>
          <w14:textFill>
            <w14:solidFill>
              <w14:schemeClr w14:val="tx1"/>
            </w14:solidFill>
          </w14:textFill>
        </w:rPr>
      </w:pPr>
      <w:r>
        <w:rPr>
          <w:color w:val="000000" w:themeColor="text1"/>
          <w:kern w:val="2"/>
          <w:szCs w:val="24"/>
          <w:highlight w:val="none"/>
          <w14:textFill>
            <w14:solidFill>
              <w14:schemeClr w14:val="tx1"/>
            </w14:solidFill>
          </w14:textFill>
        </w:rPr>
        <w:t>2</w:t>
      </w:r>
      <w:r>
        <w:rPr>
          <w:rFonts w:hint="eastAsia"/>
          <w:color w:val="000000" w:themeColor="text1"/>
          <w:kern w:val="2"/>
          <w:szCs w:val="24"/>
          <w:highlight w:val="none"/>
          <w14:textFill>
            <w14:solidFill>
              <w14:schemeClr w14:val="tx1"/>
            </w14:solidFill>
          </w14:textFill>
        </w:rPr>
        <w:t>7</w:t>
      </w:r>
      <w:r>
        <w:rPr>
          <w:color w:val="000000" w:themeColor="text1"/>
          <w:kern w:val="2"/>
          <w:szCs w:val="24"/>
          <w:highlight w:val="none"/>
          <w14:textFill>
            <w14:solidFill>
              <w14:schemeClr w14:val="tx1"/>
            </w14:solidFill>
          </w14:textFill>
        </w:rPr>
        <w:t xml:space="preserve">.3.3 </w:t>
      </w:r>
      <w:r>
        <w:rPr>
          <w:rFonts w:hint="eastAsia"/>
          <w:color w:val="000000" w:themeColor="text1"/>
          <w:kern w:val="2"/>
          <w:szCs w:val="24"/>
          <w:highlight w:val="none"/>
          <w14:textFill>
            <w14:solidFill>
              <w14:schemeClr w14:val="tx1"/>
            </w14:solidFill>
          </w14:textFill>
        </w:rPr>
        <w:t>现场发掘的所有化石、有价值的古物和对地质、考古有意义（或价值）的其它</w:t>
      </w:r>
      <w:r>
        <w:rPr>
          <w:rFonts w:hint="eastAsia"/>
          <w:color w:val="000000" w:themeColor="text1"/>
          <w:kern w:val="2"/>
          <w:szCs w:val="24"/>
          <w:highlight w:val="none"/>
          <w:lang w:val="en-US" w:eastAsia="zh-CN"/>
          <w14:textFill>
            <w14:solidFill>
              <w14:schemeClr w14:val="tx1"/>
            </w14:solidFill>
          </w14:textFill>
        </w:rPr>
        <w:t>遗</w:t>
      </w:r>
      <w:r>
        <w:rPr>
          <w:rFonts w:hint="eastAsia"/>
          <w:color w:val="000000" w:themeColor="text1"/>
          <w:kern w:val="2"/>
          <w:szCs w:val="24"/>
          <w:highlight w:val="none"/>
          <w14:textFill>
            <w14:solidFill>
              <w14:schemeClr w14:val="tx1"/>
            </w14:solidFill>
          </w14:textFill>
        </w:rPr>
        <w:t>迹或物品，均为政府的绝对财产。一旦发现上述文物，承包人应采用一切有效的预防措施防止其雇员或其它人员占为己有或损坏任何上述物品，并马上通知监理人。</w:t>
      </w:r>
    </w:p>
    <w:p w14:paraId="19B3F3F5">
      <w:pPr>
        <w:spacing w:line="400" w:lineRule="exact"/>
        <w:ind w:firstLine="420" w:firstLineChars="200"/>
        <w:jc w:val="left"/>
        <w:rPr>
          <w:rFonts w:ascii="宋体" w:hAnsi="宋体"/>
          <w:color w:val="000000" w:themeColor="text1"/>
          <w:kern w:val="2"/>
          <w:szCs w:val="24"/>
          <w:highlight w:val="none"/>
          <w14:textFill>
            <w14:solidFill>
              <w14:schemeClr w14:val="tx1"/>
            </w14:solidFill>
          </w14:textFill>
        </w:rPr>
        <w:sectPr>
          <w:headerReference r:id="rId11" w:type="default"/>
          <w:footerReference r:id="rId12" w:type="default"/>
          <w:pgSz w:w="11906" w:h="16838"/>
          <w:pgMar w:top="1440" w:right="1080" w:bottom="1440" w:left="1080" w:header="851" w:footer="907" w:gutter="0"/>
          <w:pgNumType w:fmt="decimal"/>
          <w:cols w:space="1701" w:num="1"/>
          <w:docGrid w:linePitch="360" w:charSpace="0"/>
        </w:sectPr>
      </w:pPr>
      <w:r>
        <w:rPr>
          <w:color w:val="000000" w:themeColor="text1"/>
          <w:kern w:val="2"/>
          <w:szCs w:val="24"/>
          <w:highlight w:val="none"/>
          <w14:textFill>
            <w14:solidFill>
              <w14:schemeClr w14:val="tx1"/>
            </w14:solidFill>
          </w14:textFill>
        </w:rPr>
        <w:t>2</w:t>
      </w:r>
      <w:r>
        <w:rPr>
          <w:rFonts w:hint="eastAsia"/>
          <w:color w:val="000000" w:themeColor="text1"/>
          <w:kern w:val="2"/>
          <w:szCs w:val="24"/>
          <w:highlight w:val="none"/>
          <w14:textFill>
            <w14:solidFill>
              <w14:schemeClr w14:val="tx1"/>
            </w14:solidFill>
          </w14:textFill>
        </w:rPr>
        <w:t>7</w:t>
      </w:r>
      <w:r>
        <w:rPr>
          <w:color w:val="000000" w:themeColor="text1"/>
          <w:kern w:val="2"/>
          <w:szCs w:val="24"/>
          <w:highlight w:val="none"/>
          <w14:textFill>
            <w14:solidFill>
              <w14:schemeClr w14:val="tx1"/>
            </w14:solidFill>
          </w14:textFill>
        </w:rPr>
        <w:t xml:space="preserve">.3.4 </w:t>
      </w:r>
      <w:r>
        <w:rPr>
          <w:rFonts w:hint="eastAsia"/>
          <w:color w:val="000000" w:themeColor="text1"/>
          <w:kern w:val="2"/>
          <w:szCs w:val="24"/>
          <w:highlight w:val="none"/>
          <w14:textFill>
            <w14:solidFill>
              <w14:schemeClr w14:val="tx1"/>
            </w14:solidFill>
          </w14:textFill>
        </w:rPr>
        <w:t>如果由于承包人未执行有关规定而发生赔偿，一切损失及费用应由承包人自行承担</w:t>
      </w:r>
      <w:r>
        <w:rPr>
          <w:rFonts w:hint="eastAsia" w:ascii="宋体" w:hAnsi="宋体"/>
          <w:color w:val="000000" w:themeColor="text1"/>
          <w:kern w:val="2"/>
          <w:szCs w:val="24"/>
          <w:highlight w:val="none"/>
          <w14:textFill>
            <w14:solidFill>
              <w14:schemeClr w14:val="tx1"/>
            </w14:solidFill>
          </w14:textFill>
        </w:rPr>
        <w:t>。</w:t>
      </w:r>
      <w:bookmarkEnd w:id="206"/>
      <w:bookmarkEnd w:id="207"/>
      <w:bookmarkEnd w:id="208"/>
      <w:bookmarkEnd w:id="209"/>
      <w:bookmarkEnd w:id="210"/>
      <w:bookmarkStart w:id="224" w:name="_Toc10734"/>
      <w:bookmarkStart w:id="225" w:name="_Toc120614281"/>
      <w:bookmarkStart w:id="226" w:name="_Toc26554093"/>
      <w:bookmarkStart w:id="227" w:name="_Toc49090575"/>
    </w:p>
    <w:p w14:paraId="14E22311">
      <w:pPr>
        <w:keepNext/>
        <w:keepLines/>
        <w:spacing w:before="340" w:after="330" w:line="480" w:lineRule="exact"/>
        <w:jc w:val="center"/>
        <w:outlineLvl w:val="0"/>
        <w:rPr>
          <w:rFonts w:ascii="宋体" w:hAnsi="宋体" w:cs="宋体"/>
          <w:b/>
          <w:bCs/>
          <w:color w:val="000000" w:themeColor="text1"/>
          <w:kern w:val="44"/>
          <w:sz w:val="24"/>
          <w:szCs w:val="44"/>
          <w:highlight w:val="none"/>
          <w:u w:val="single"/>
          <w14:textFill>
            <w14:solidFill>
              <w14:schemeClr w14:val="tx1"/>
            </w14:solidFill>
          </w14:textFill>
        </w:rPr>
      </w:pPr>
      <w:r>
        <w:rPr>
          <w:rFonts w:hint="eastAsia"/>
          <w:b/>
          <w:bCs/>
          <w:color w:val="000000" w:themeColor="text1"/>
          <w:kern w:val="44"/>
          <w:sz w:val="44"/>
          <w:szCs w:val="44"/>
          <w:highlight w:val="none"/>
          <w14:textFill>
            <w14:solidFill>
              <w14:schemeClr w14:val="tx1"/>
            </w14:solidFill>
          </w14:textFill>
        </w:rPr>
        <w:t>合 同 协 议 书</w:t>
      </w:r>
    </w:p>
    <w:p w14:paraId="69E4BD7A">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发包人名称，以下简称“发包人”）为实施（项目名称），已接受（承包人名称，以下简称“承包人”）对该项目施工的投标。发包人、管理人（管理人名称，以下简称“发包人”）和承包人共同达成如下协议。</w:t>
      </w:r>
    </w:p>
    <w:p w14:paraId="13BCD86B">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1. 招标范围：</w:t>
      </w:r>
    </w:p>
    <w:p w14:paraId="1A4152F0">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2. 下列文件应视为构成合同文件的组成部分：</w:t>
      </w:r>
    </w:p>
    <w:p w14:paraId="11D2EFB1">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（1）本协议书及各种合同附件（含评标期间和合同谈判过程中的澄清文件和补充资料）；</w:t>
      </w:r>
    </w:p>
    <w:p w14:paraId="71C45AC9">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（2）中标通知书；</w:t>
      </w:r>
    </w:p>
    <w:p w14:paraId="6F67C47D">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（3）投标函及投标函附录；</w:t>
      </w:r>
    </w:p>
    <w:p w14:paraId="38A084A6">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（4）项目专用合同条款；</w:t>
      </w:r>
    </w:p>
    <w:p w14:paraId="66BB200D">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（5）公路工程专用合同条款；</w:t>
      </w:r>
    </w:p>
    <w:p w14:paraId="5A8AE1D7">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（6）通用合同条款；</w:t>
      </w:r>
    </w:p>
    <w:p w14:paraId="3F6502D5">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（7）工程量清单计量规则；</w:t>
      </w:r>
    </w:p>
    <w:p w14:paraId="46C3B133">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（8）技术规范；</w:t>
      </w:r>
    </w:p>
    <w:p w14:paraId="580C8F2F">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（9）图纸；</w:t>
      </w:r>
    </w:p>
    <w:p w14:paraId="4FDA9A15">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（10）已标价工程量清单；</w:t>
      </w:r>
    </w:p>
    <w:p w14:paraId="714AF8D1">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（11）承包人有关人员、设备投入的承诺；</w:t>
      </w:r>
    </w:p>
    <w:p w14:paraId="316DA174">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（12）其他合同文件。</w:t>
      </w:r>
    </w:p>
    <w:p w14:paraId="40FA0964">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上述合同文件互相补充和解释。如果合同文件之间存在矛盾或不一致之处，以上述文件的排列顺序在先者为准。</w:t>
      </w:r>
    </w:p>
    <w:p w14:paraId="05E75977">
      <w:pPr>
        <w:spacing w:line="440" w:lineRule="exact"/>
        <w:ind w:left="479" w:leftChars="228"/>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3. 根据工程量清单所列的预计数量和单价或总额价计算的签约合同价：人民币（大写）圆（¥元）。</w:t>
      </w:r>
    </w:p>
    <w:p w14:paraId="7419594C">
      <w:pPr>
        <w:spacing w:line="440" w:lineRule="exact"/>
        <w:ind w:firstLine="480" w:firstLineChars="200"/>
        <w:rPr>
          <w:rFonts w:ascii="宋体" w:hAnsi="宋体" w:cs="宋体"/>
          <w:color w:val="000000" w:themeColor="text1"/>
          <w:kern w:val="2"/>
          <w:sz w:val="24"/>
          <w:szCs w:val="24"/>
          <w:highlight w:val="none"/>
          <w:u w:val="singl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4. 承包人项目经理：。承包人项目总工：。</w:t>
      </w:r>
    </w:p>
    <w:p w14:paraId="35E2AE17">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5. 工程质量符合</w:t>
      </w:r>
      <w:r>
        <w:rPr>
          <w:rFonts w:hint="eastAsia" w:ascii="宋体" w:hAnsi="宋体" w:cs="宋体"/>
          <w:color w:val="000000" w:themeColor="text1"/>
          <w:kern w:val="2"/>
          <w:sz w:val="24"/>
          <w:szCs w:val="24"/>
          <w:highlight w:val="none"/>
          <w:u w:val="single"/>
          <w14:textFill>
            <w14:solidFill>
              <w14:schemeClr w14:val="tx1"/>
            </w14:solidFill>
          </w14:textFill>
        </w:rPr>
        <w:t>标段工程交工验收的质量评定：合格；竣工验收的质量评定：优良</w:t>
      </w:r>
      <w:r>
        <w:rPr>
          <w:rFonts w:hint="eastAsia" w:ascii="宋体" w:hAnsi="宋体" w:cs="宋体"/>
          <w:color w:val="000000" w:themeColor="text1"/>
          <w:kern w:val="2"/>
          <w:sz w:val="24"/>
          <w:szCs w:val="24"/>
          <w:highlight w:val="none"/>
          <w14:textFill>
            <w14:solidFill>
              <w14:schemeClr w14:val="tx1"/>
            </w14:solidFill>
          </w14:textFill>
        </w:rPr>
        <w:t>标准；工程安全目标：</w:t>
      </w:r>
      <w:r>
        <w:rPr>
          <w:rFonts w:hint="eastAsia" w:ascii="宋体" w:hAnsi="宋体" w:cs="宋体"/>
          <w:color w:val="000000" w:themeColor="text1"/>
          <w:kern w:val="2"/>
          <w:sz w:val="24"/>
          <w:szCs w:val="24"/>
          <w:highlight w:val="none"/>
          <w:u w:val="single"/>
          <w14:textFill>
            <w14:solidFill>
              <w14:schemeClr w14:val="tx1"/>
            </w14:solidFill>
          </w14:textFill>
        </w:rPr>
        <w:t>严格执行有关安全生产的法律法规和规章制度，确保：无安全生产责任事故</w:t>
      </w:r>
      <w:r>
        <w:rPr>
          <w:rFonts w:hint="eastAsia" w:ascii="宋体" w:hAnsi="宋体" w:cs="宋体"/>
          <w:color w:val="000000" w:themeColor="text1"/>
          <w:kern w:val="2"/>
          <w:sz w:val="24"/>
          <w:szCs w:val="24"/>
          <w:highlight w:val="none"/>
          <w14:textFill>
            <w14:solidFill>
              <w14:schemeClr w14:val="tx1"/>
            </w14:solidFill>
          </w14:textFill>
        </w:rPr>
        <w:t>；工程环保要求：</w:t>
      </w:r>
      <w:r>
        <w:rPr>
          <w:rFonts w:hint="eastAsia" w:ascii="宋体" w:hAnsi="宋体" w:cs="宋体"/>
          <w:color w:val="000000" w:themeColor="text1"/>
          <w:kern w:val="2"/>
          <w:sz w:val="24"/>
          <w:szCs w:val="24"/>
          <w:highlight w:val="none"/>
          <w:u w:val="single"/>
          <w14:textFill>
            <w14:solidFill>
              <w14:schemeClr w14:val="tx1"/>
            </w14:solidFill>
          </w14:textFill>
        </w:rPr>
        <w:t>符合国家及省市有关规定</w:t>
      </w:r>
      <w:r>
        <w:rPr>
          <w:rFonts w:hint="eastAsia" w:ascii="宋体" w:hAnsi="宋体" w:cs="宋体"/>
          <w:color w:val="000000" w:themeColor="text1"/>
          <w:kern w:val="2"/>
          <w:sz w:val="24"/>
          <w:szCs w:val="24"/>
          <w:highlight w:val="none"/>
          <w14:textFill>
            <w14:solidFill>
              <w14:schemeClr w14:val="tx1"/>
            </w14:solidFill>
          </w14:textFill>
        </w:rPr>
        <w:t>。</w:t>
      </w:r>
    </w:p>
    <w:p w14:paraId="658F18B1">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6. 承包人承诺按合同约定承担工程的实施、完成及缺陷修复。</w:t>
      </w:r>
    </w:p>
    <w:p w14:paraId="674BFD1A">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7. 发包人承诺按合同约定的条件、时间和方式向承包人支付合同价款。</w:t>
      </w:r>
    </w:p>
    <w:p w14:paraId="3C150DF9">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8. 承包人应按照监理人指示开工，工期为。</w:t>
      </w:r>
    </w:p>
    <w:p w14:paraId="538E9F76">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9.工程验收合格之后，沭阳公路超限检测站预检系统交由宿迁市交通运输综合行政执法支队进行管理。</w:t>
      </w:r>
    </w:p>
    <w:p w14:paraId="402777A7">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10. 本协议书在承包人提供履约保证金后，由双方法定代表人或其委托代理人签署并加盖单位章后生效。全部工程完工后经交工验收合格、缺陷责任期满签发缺陷责任终止证书后失效。</w:t>
      </w:r>
    </w:p>
    <w:p w14:paraId="5DF2BF64">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11. 本协议书一式六份，合同三方各执三份。</w:t>
      </w:r>
    </w:p>
    <w:p w14:paraId="7DE1B7CF">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12. 合同未尽事宜，双方另行签订补充协议。补充协议是合同的组成部分。</w:t>
      </w:r>
    </w:p>
    <w:p w14:paraId="089FA6AE">
      <w:pPr>
        <w:spacing w:line="360" w:lineRule="auto"/>
        <w:ind w:firstLine="480" w:firstLineChars="200"/>
        <w:rPr>
          <w:rFonts w:ascii="宋体" w:hAnsi="宋体" w:cs="宋体"/>
          <w:color w:val="000000" w:themeColor="text1"/>
          <w:kern w:val="2"/>
          <w:sz w:val="24"/>
          <w:szCs w:val="24"/>
          <w:highlight w:val="none"/>
          <w14:textFill>
            <w14:solidFill>
              <w14:schemeClr w14:val="tx1"/>
            </w14:solidFill>
          </w14:textFill>
        </w:rPr>
      </w:pPr>
    </w:p>
    <w:p w14:paraId="47DD696D">
      <w:pPr>
        <w:spacing w:line="360" w:lineRule="auto"/>
        <w:ind w:firstLine="480" w:firstLineChars="200"/>
        <w:rPr>
          <w:rFonts w:ascii="宋体" w:hAnsi="宋体" w:cs="宋体"/>
          <w:color w:val="000000" w:themeColor="text1"/>
          <w:kern w:val="2"/>
          <w:sz w:val="24"/>
          <w:szCs w:val="24"/>
          <w:highlight w:val="none"/>
          <w14:textFill>
            <w14:solidFill>
              <w14:schemeClr w14:val="tx1"/>
            </w14:solidFill>
          </w14:textFill>
        </w:rPr>
      </w:pPr>
    </w:p>
    <w:tbl>
      <w:tblPr>
        <w:tblStyle w:val="13"/>
        <w:tblW w:w="5000" w:type="pct"/>
        <w:jc w:val="center"/>
        <w:tblLayout w:type="autofit"/>
        <w:tblCellMar>
          <w:top w:w="0" w:type="dxa"/>
          <w:left w:w="108" w:type="dxa"/>
          <w:bottom w:w="0" w:type="dxa"/>
          <w:right w:w="108" w:type="dxa"/>
        </w:tblCellMar>
      </w:tblPr>
      <w:tblGrid>
        <w:gridCol w:w="4980"/>
        <w:gridCol w:w="4983"/>
      </w:tblGrid>
      <w:tr w14:paraId="722E7DF2">
        <w:tblPrEx>
          <w:tblCellMar>
            <w:top w:w="0" w:type="dxa"/>
            <w:left w:w="108" w:type="dxa"/>
            <w:bottom w:w="0" w:type="dxa"/>
            <w:right w:w="108" w:type="dxa"/>
          </w:tblCellMar>
        </w:tblPrEx>
        <w:trPr>
          <w:jc w:val="center"/>
        </w:trPr>
        <w:tc>
          <w:tcPr>
            <w:tcW w:w="2499" w:type="pct"/>
            <w:noWrap/>
          </w:tcPr>
          <w:p w14:paraId="50F16CA7">
            <w:pPr>
              <w:spacing w:line="360" w:lineRule="auto"/>
              <w:rPr>
                <w:rFonts w:ascii="宋体" w:hAnsi="宋体" w:cs="宋体"/>
                <w:color w:val="000000" w:themeColor="text1"/>
                <w:spacing w:val="18"/>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 xml:space="preserve">发包人:（盖单位章）  </w:t>
            </w:r>
          </w:p>
        </w:tc>
        <w:tc>
          <w:tcPr>
            <w:tcW w:w="2500" w:type="pct"/>
            <w:noWrap/>
          </w:tcPr>
          <w:p w14:paraId="05B46209">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承包人:（盖单位章）</w:t>
            </w:r>
          </w:p>
        </w:tc>
      </w:tr>
      <w:tr w14:paraId="04B2CA7A">
        <w:tblPrEx>
          <w:tblCellMar>
            <w:top w:w="0" w:type="dxa"/>
            <w:left w:w="108" w:type="dxa"/>
            <w:bottom w:w="0" w:type="dxa"/>
            <w:right w:w="108" w:type="dxa"/>
          </w:tblCellMar>
        </w:tblPrEx>
        <w:trPr>
          <w:jc w:val="center"/>
        </w:trPr>
        <w:tc>
          <w:tcPr>
            <w:tcW w:w="2499" w:type="pct"/>
            <w:noWrap/>
          </w:tcPr>
          <w:p w14:paraId="1158953F">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法定代表人</w:t>
            </w:r>
          </w:p>
          <w:p w14:paraId="7F94108F">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或其授权的代理人：</w:t>
            </w:r>
            <w:r>
              <w:rPr>
                <w:rFonts w:hint="eastAsia" w:ascii="宋体" w:hAnsi="宋体" w:cs="宋体"/>
                <w:color w:val="000000" w:themeColor="text1"/>
                <w:kern w:val="2"/>
                <w:sz w:val="24"/>
                <w:szCs w:val="24"/>
                <w:highlight w:val="none"/>
                <w:u w:val="single"/>
                <w14:textFill>
                  <w14:solidFill>
                    <w14:schemeClr w14:val="tx1"/>
                  </w14:solidFill>
                </w14:textFill>
              </w:rPr>
              <w:t xml:space="preserve">        （签字）</w:t>
            </w:r>
          </w:p>
        </w:tc>
        <w:tc>
          <w:tcPr>
            <w:tcW w:w="2500" w:type="pct"/>
            <w:noWrap/>
          </w:tcPr>
          <w:p w14:paraId="4CE3A116">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法定代表人</w:t>
            </w:r>
          </w:p>
          <w:p w14:paraId="260CF803">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或其授权的代理人：</w:t>
            </w:r>
            <w:r>
              <w:rPr>
                <w:rFonts w:hint="eastAsia" w:ascii="宋体" w:hAnsi="宋体" w:cs="宋体"/>
                <w:color w:val="000000" w:themeColor="text1"/>
                <w:kern w:val="2"/>
                <w:sz w:val="24"/>
                <w:szCs w:val="24"/>
                <w:highlight w:val="none"/>
                <w:u w:val="single"/>
                <w14:textFill>
                  <w14:solidFill>
                    <w14:schemeClr w14:val="tx1"/>
                  </w14:solidFill>
                </w14:textFill>
              </w:rPr>
              <w:t xml:space="preserve">        （签字）</w:t>
            </w:r>
          </w:p>
        </w:tc>
      </w:tr>
      <w:tr w14:paraId="227DD810">
        <w:tblPrEx>
          <w:tblCellMar>
            <w:top w:w="0" w:type="dxa"/>
            <w:left w:w="108" w:type="dxa"/>
            <w:bottom w:w="0" w:type="dxa"/>
            <w:right w:w="108" w:type="dxa"/>
          </w:tblCellMar>
        </w:tblPrEx>
        <w:trPr>
          <w:jc w:val="center"/>
        </w:trPr>
        <w:tc>
          <w:tcPr>
            <w:tcW w:w="2499" w:type="pct"/>
            <w:noWrap/>
          </w:tcPr>
          <w:p w14:paraId="6A4755A3">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日期：年月日</w:t>
            </w:r>
          </w:p>
        </w:tc>
        <w:tc>
          <w:tcPr>
            <w:tcW w:w="2500" w:type="pct"/>
            <w:noWrap/>
          </w:tcPr>
          <w:p w14:paraId="34DF471E">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日期：年月日</w:t>
            </w:r>
          </w:p>
        </w:tc>
      </w:tr>
      <w:tr w14:paraId="63A5841B">
        <w:tblPrEx>
          <w:tblCellMar>
            <w:top w:w="0" w:type="dxa"/>
            <w:left w:w="108" w:type="dxa"/>
            <w:bottom w:w="0" w:type="dxa"/>
            <w:right w:w="108" w:type="dxa"/>
          </w:tblCellMar>
        </w:tblPrEx>
        <w:trPr>
          <w:jc w:val="center"/>
        </w:trPr>
        <w:tc>
          <w:tcPr>
            <w:tcW w:w="4980" w:type="dxa"/>
            <w:noWrap/>
          </w:tcPr>
          <w:p w14:paraId="0A13888C">
            <w:pPr>
              <w:spacing w:line="360" w:lineRule="auto"/>
              <w:ind w:firstLine="1680" w:firstLineChars="700"/>
              <w:rPr>
                <w:rFonts w:ascii="宋体" w:hAnsi="宋体" w:cs="宋体"/>
                <w:color w:val="000000" w:themeColor="text1"/>
                <w:kern w:val="2"/>
                <w:sz w:val="24"/>
                <w:szCs w:val="24"/>
                <w:highlight w:val="none"/>
                <w14:textFill>
                  <w14:solidFill>
                    <w14:schemeClr w14:val="tx1"/>
                  </w14:solidFill>
                </w14:textFill>
              </w:rPr>
            </w:pPr>
          </w:p>
        </w:tc>
        <w:tc>
          <w:tcPr>
            <w:tcW w:w="2500" w:type="pct"/>
            <w:noWrap/>
          </w:tcPr>
          <w:p w14:paraId="1B5A86C8">
            <w:pPr>
              <w:spacing w:line="360" w:lineRule="auto"/>
              <w:rPr>
                <w:rFonts w:ascii="宋体" w:hAnsi="宋体" w:cs="宋体"/>
                <w:color w:val="000000" w:themeColor="text1"/>
                <w:kern w:val="2"/>
                <w:sz w:val="24"/>
                <w:szCs w:val="24"/>
                <w:highlight w:val="none"/>
                <w14:textFill>
                  <w14:solidFill>
                    <w14:schemeClr w14:val="tx1"/>
                  </w14:solidFill>
                </w14:textFill>
              </w:rPr>
            </w:pPr>
          </w:p>
        </w:tc>
      </w:tr>
      <w:tr w14:paraId="5BC9036A">
        <w:tblPrEx>
          <w:tblCellMar>
            <w:top w:w="0" w:type="dxa"/>
            <w:left w:w="108" w:type="dxa"/>
            <w:bottom w:w="0" w:type="dxa"/>
            <w:right w:w="108" w:type="dxa"/>
          </w:tblCellMar>
        </w:tblPrEx>
        <w:trPr>
          <w:jc w:val="center"/>
        </w:trPr>
        <w:tc>
          <w:tcPr>
            <w:tcW w:w="4980" w:type="dxa"/>
            <w:noWrap/>
          </w:tcPr>
          <w:p w14:paraId="73065756">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 xml:space="preserve">管理人:（盖单位章）  </w:t>
            </w:r>
          </w:p>
        </w:tc>
        <w:tc>
          <w:tcPr>
            <w:tcW w:w="2500" w:type="pct"/>
            <w:noWrap/>
          </w:tcPr>
          <w:p w14:paraId="4558E86E">
            <w:pPr>
              <w:spacing w:line="360" w:lineRule="auto"/>
              <w:rPr>
                <w:rFonts w:ascii="宋体" w:hAnsi="宋体" w:cs="宋体"/>
                <w:color w:val="000000" w:themeColor="text1"/>
                <w:kern w:val="2"/>
                <w:sz w:val="24"/>
                <w:szCs w:val="24"/>
                <w:highlight w:val="none"/>
                <w14:textFill>
                  <w14:solidFill>
                    <w14:schemeClr w14:val="tx1"/>
                  </w14:solidFill>
                </w14:textFill>
              </w:rPr>
            </w:pPr>
          </w:p>
        </w:tc>
      </w:tr>
      <w:tr w14:paraId="5EAD5222">
        <w:tblPrEx>
          <w:tblCellMar>
            <w:top w:w="0" w:type="dxa"/>
            <w:left w:w="108" w:type="dxa"/>
            <w:bottom w:w="0" w:type="dxa"/>
            <w:right w:w="108" w:type="dxa"/>
          </w:tblCellMar>
        </w:tblPrEx>
        <w:trPr>
          <w:jc w:val="center"/>
        </w:trPr>
        <w:tc>
          <w:tcPr>
            <w:tcW w:w="4980" w:type="dxa"/>
            <w:noWrap/>
          </w:tcPr>
          <w:p w14:paraId="51EE99D4">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法定代表人</w:t>
            </w:r>
          </w:p>
          <w:p w14:paraId="0146C07D">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或其授权的代理人：</w:t>
            </w:r>
            <w:r>
              <w:rPr>
                <w:rFonts w:hint="eastAsia" w:ascii="宋体" w:hAnsi="宋体" w:cs="宋体"/>
                <w:color w:val="000000" w:themeColor="text1"/>
                <w:kern w:val="2"/>
                <w:sz w:val="24"/>
                <w:szCs w:val="24"/>
                <w:highlight w:val="none"/>
                <w:u w:val="single"/>
                <w14:textFill>
                  <w14:solidFill>
                    <w14:schemeClr w14:val="tx1"/>
                  </w14:solidFill>
                </w14:textFill>
              </w:rPr>
              <w:t xml:space="preserve">        （签字）</w:t>
            </w:r>
          </w:p>
        </w:tc>
        <w:tc>
          <w:tcPr>
            <w:tcW w:w="2500" w:type="pct"/>
            <w:noWrap/>
          </w:tcPr>
          <w:p w14:paraId="45B9CEEB">
            <w:pPr>
              <w:spacing w:line="360" w:lineRule="auto"/>
              <w:rPr>
                <w:rFonts w:ascii="宋体" w:hAnsi="宋体" w:cs="宋体"/>
                <w:color w:val="000000" w:themeColor="text1"/>
                <w:kern w:val="2"/>
                <w:sz w:val="24"/>
                <w:szCs w:val="24"/>
                <w:highlight w:val="none"/>
                <w14:textFill>
                  <w14:solidFill>
                    <w14:schemeClr w14:val="tx1"/>
                  </w14:solidFill>
                </w14:textFill>
              </w:rPr>
            </w:pPr>
          </w:p>
        </w:tc>
      </w:tr>
      <w:tr w14:paraId="1DFAC143">
        <w:tblPrEx>
          <w:tblCellMar>
            <w:top w:w="0" w:type="dxa"/>
            <w:left w:w="108" w:type="dxa"/>
            <w:bottom w:w="0" w:type="dxa"/>
            <w:right w:w="108" w:type="dxa"/>
          </w:tblCellMar>
        </w:tblPrEx>
        <w:trPr>
          <w:jc w:val="center"/>
        </w:trPr>
        <w:tc>
          <w:tcPr>
            <w:tcW w:w="4980" w:type="dxa"/>
            <w:noWrap/>
          </w:tcPr>
          <w:p w14:paraId="1D577314">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日期：年月日</w:t>
            </w:r>
          </w:p>
        </w:tc>
        <w:tc>
          <w:tcPr>
            <w:tcW w:w="2500" w:type="pct"/>
            <w:noWrap/>
          </w:tcPr>
          <w:p w14:paraId="688BE6F5">
            <w:pPr>
              <w:spacing w:line="360" w:lineRule="auto"/>
              <w:rPr>
                <w:rFonts w:ascii="宋体" w:hAnsi="宋体" w:cs="宋体"/>
                <w:color w:val="000000" w:themeColor="text1"/>
                <w:kern w:val="2"/>
                <w:sz w:val="24"/>
                <w:szCs w:val="24"/>
                <w:highlight w:val="none"/>
                <w14:textFill>
                  <w14:solidFill>
                    <w14:schemeClr w14:val="tx1"/>
                  </w14:solidFill>
                </w14:textFill>
              </w:rPr>
            </w:pPr>
          </w:p>
        </w:tc>
      </w:tr>
    </w:tbl>
    <w:p w14:paraId="135D9E34">
      <w:pPr>
        <w:spacing w:line="440" w:lineRule="exact"/>
        <w:rPr>
          <w:rFonts w:ascii="宋体" w:hAnsi="宋体" w:cs="宋体"/>
          <w:color w:val="000000" w:themeColor="text1"/>
          <w:kern w:val="2"/>
          <w:sz w:val="24"/>
          <w:szCs w:val="24"/>
          <w:highlight w:val="none"/>
          <w14:textFill>
            <w14:solidFill>
              <w14:schemeClr w14:val="tx1"/>
            </w14:solidFill>
          </w14:textFill>
        </w:rPr>
      </w:pPr>
    </w:p>
    <w:p w14:paraId="5E85EC81">
      <w:pPr>
        <w:spacing w:line="440" w:lineRule="exact"/>
        <w:rPr>
          <w:rFonts w:ascii="宋体" w:hAnsi="宋体" w:cs="宋体"/>
          <w:color w:val="000000" w:themeColor="text1"/>
          <w:kern w:val="2"/>
          <w:sz w:val="24"/>
          <w:szCs w:val="24"/>
          <w:highlight w:val="none"/>
          <w14:textFill>
            <w14:solidFill>
              <w14:schemeClr w14:val="tx1"/>
            </w14:solidFill>
          </w14:textFill>
        </w:rPr>
      </w:pPr>
    </w:p>
    <w:p w14:paraId="45A3DAD2">
      <w:pPr>
        <w:keepNext/>
        <w:keepLines/>
        <w:spacing w:before="340" w:after="330" w:line="480" w:lineRule="exact"/>
        <w:jc w:val="center"/>
        <w:outlineLvl w:val="0"/>
        <w:rPr>
          <w:rFonts w:ascii="宋体" w:hAnsi="宋体" w:cs="宋体"/>
          <w:b/>
          <w:color w:val="000000" w:themeColor="text1"/>
          <w:spacing w:val="30"/>
          <w:kern w:val="2"/>
          <w:sz w:val="24"/>
          <w:szCs w:val="24"/>
          <w:highlight w:val="none"/>
          <w14:textFill>
            <w14:solidFill>
              <w14:schemeClr w14:val="tx1"/>
            </w14:solidFill>
          </w14:textFill>
        </w:rPr>
      </w:pPr>
      <w:r>
        <w:rPr>
          <w:rFonts w:hint="eastAsia" w:ascii="宋体" w:hAnsi="宋体" w:cs="宋体"/>
          <w:b/>
          <w:bCs/>
          <w:color w:val="000000" w:themeColor="text1"/>
          <w:kern w:val="44"/>
          <w:sz w:val="24"/>
          <w:szCs w:val="44"/>
          <w:highlight w:val="none"/>
          <w:lang w:val="zh-CN"/>
          <w14:textFill>
            <w14:solidFill>
              <w14:schemeClr w14:val="tx1"/>
            </w14:solidFill>
          </w14:textFill>
        </w:rPr>
        <w:br w:type="page"/>
      </w:r>
      <w:r>
        <w:rPr>
          <w:rFonts w:hint="eastAsia"/>
          <w:b/>
          <w:bCs/>
          <w:color w:val="000000" w:themeColor="text1"/>
          <w:kern w:val="44"/>
          <w:sz w:val="44"/>
          <w:szCs w:val="44"/>
          <w:highlight w:val="none"/>
          <w14:textFill>
            <w14:solidFill>
              <w14:schemeClr w14:val="tx1"/>
            </w14:solidFill>
          </w14:textFill>
        </w:rPr>
        <w:t>廉 政 合 同</w:t>
      </w:r>
    </w:p>
    <w:p w14:paraId="16675E01">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项目法人名称，以下简称“发包人”）、管理人（管理人名称，以下简称“发包人”）与该项目的施工单位（施工单位名称，以下简称“承包人”），特订立如下合同。</w:t>
      </w:r>
    </w:p>
    <w:p w14:paraId="78FA6769">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1. 三方的权利和义务</w:t>
      </w:r>
    </w:p>
    <w:p w14:paraId="53DF88DF">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（1）严格遵守党的政策规定和国家有关法律法规及交通运输部的有关规定。</w:t>
      </w:r>
    </w:p>
    <w:p w14:paraId="76538F52">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（2）严格执行施工合同文件，自觉按合同办事。</w:t>
      </w:r>
    </w:p>
    <w:p w14:paraId="3F3B06D4">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（3）各方的业务活动坚持公开、公正、诚信、透明的原则（法律认定的商业秘密和合同文件另有规定除外），不得损害国家和集体利益，不得违反工程建设管理规章制度。</w:t>
      </w:r>
    </w:p>
    <w:p w14:paraId="47DBF29D">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（4）建立健全廉政制度，开展廉政教育，设立廉政告示牌，公布举报电话，监督并认真查处违法违纪行为。</w:t>
      </w:r>
    </w:p>
    <w:p w14:paraId="229DDBE1">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（5）发现对方在业务活动中有违反廉政规定的行为，有及时提醒对方纠正的权利和义务。</w:t>
      </w:r>
    </w:p>
    <w:p w14:paraId="0B823ABF">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（6）发现对方严重违反本合同义务条款的行为，有向其上级有关部门举报、建议给予处理并要求告知处理结果的权利。</w:t>
      </w:r>
    </w:p>
    <w:p w14:paraId="43506C75">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2. 发包人、管理人的义务</w:t>
      </w:r>
    </w:p>
    <w:p w14:paraId="52FB83A0">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（1）发包人、管理人及其工作人员不得索要或接受承包人的礼金、有价证券和贵重物品，不得让承包人报销任何应由发包人或发包人工作人员个人支付的费用等。</w:t>
      </w:r>
    </w:p>
    <w:p w14:paraId="36C9B500">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（2）发包人、管理人工作人员不得参加承包人安排的超标准宴请和娱乐活动；不得接受承包人提供的通信工具、交通工具和高档办公用品等。</w:t>
      </w:r>
    </w:p>
    <w:p w14:paraId="1943A85A">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（3）发包人、管理人及其工作人员不得要求或者接受承包人为其住房装修、婚丧嫁娶活动、配偶子女的工作安排以及出国出境、旅游等提供方便等。</w:t>
      </w:r>
    </w:p>
    <w:p w14:paraId="618645F2">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（4）发包人、管理人工作人员及其配偶、子女不得从事与发包人工程有关的材料设备供应、工程分包、劳务等经济活动等。</w:t>
      </w:r>
    </w:p>
    <w:p w14:paraId="007911DF">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（5）发包人、管理人及其工作人员不得以任何理由向承包人推荐分包单位或推销材料，不得要求承包人购买合同规定外的材料和设备。</w:t>
      </w:r>
    </w:p>
    <w:p w14:paraId="61F0E9E1">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（6）发包人、管理人工作人员要秉公办事，不准营私舞弊，不准利用职权从事各种个人有偿中介活动和安排个人施工队伍。</w:t>
      </w:r>
    </w:p>
    <w:p w14:paraId="2A65AAD4">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3. 承包人的义务</w:t>
      </w:r>
    </w:p>
    <w:p w14:paraId="7A870362">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（1）承包人不得以任何理由向发包人、管理人及其工作人员行贿或馈赠礼金、有价证券、贵重礼品。</w:t>
      </w:r>
    </w:p>
    <w:p w14:paraId="63B77A26">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（2）承包人不得以任何名义为发包人、管理人及其工作人员报销应由发包人单位或个人支付的任何费用。</w:t>
      </w:r>
    </w:p>
    <w:p w14:paraId="543504A1">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（3）承包人不得以任何理由安排发包人、管理人工作人员参加超标准宴请及娱乐活动。</w:t>
      </w:r>
    </w:p>
    <w:p w14:paraId="07F186A4">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（4）承包人不得为发包人、管理人单位和个人购置或提供通信工具、交通工具和高档办公用品等。</w:t>
      </w:r>
    </w:p>
    <w:p w14:paraId="393DF95E">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4. 违约责任</w:t>
      </w:r>
    </w:p>
    <w:p w14:paraId="69E91C60">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（1）发包人、管理人及其工作人员违反本合同第1、2条，按管理权限，依据有关规定给予党纪、政纪或组织处理；涉嫌犯罪的，移交司法机关追究刑事责任；给承包人单位造成经济损失的，应予以赔偿。</w:t>
      </w:r>
    </w:p>
    <w:p w14:paraId="04F23895">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2D7E5340">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5. 双方约定：本合同由三方或三方上级单位的纪检监察部门负责监督执行。由发包人、管理人或发包人、管理人上级单位的纪检监察部门约请承包人或承包人上级单位纪检监察部门对本合同执行情况进行检查，提出在本合同规定范围内的裁定意见。</w:t>
      </w:r>
    </w:p>
    <w:p w14:paraId="1CF586CA">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6. 本合同有效期为发包人、管理人和承包人签署之日起至该工程项目竣工验收后止。</w:t>
      </w:r>
    </w:p>
    <w:p w14:paraId="6EAD5D81">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7. 本合同作为施工合同的附件，与工程施工合同具有同等的法律效力，经合同三方签署后立即生效。</w:t>
      </w:r>
    </w:p>
    <w:p w14:paraId="6401527D">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8. 本合同一式六份，合同双方各执三份。</w:t>
      </w:r>
    </w:p>
    <w:p w14:paraId="2CECBC64">
      <w:pPr>
        <w:spacing w:line="440" w:lineRule="exact"/>
        <w:rPr>
          <w:rFonts w:ascii="宋体" w:hAnsi="宋体" w:cs="宋体"/>
          <w:color w:val="000000" w:themeColor="text1"/>
          <w:kern w:val="2"/>
          <w:sz w:val="24"/>
          <w:szCs w:val="24"/>
          <w:highlight w:val="none"/>
          <w14:textFill>
            <w14:solidFill>
              <w14:schemeClr w14:val="tx1"/>
            </w14:solidFill>
          </w14:textFill>
        </w:rPr>
      </w:pPr>
    </w:p>
    <w:tbl>
      <w:tblPr>
        <w:tblStyle w:val="13"/>
        <w:tblW w:w="5000" w:type="pct"/>
        <w:jc w:val="center"/>
        <w:tblLayout w:type="autofit"/>
        <w:tblCellMar>
          <w:top w:w="0" w:type="dxa"/>
          <w:left w:w="108" w:type="dxa"/>
          <w:bottom w:w="0" w:type="dxa"/>
          <w:right w:w="108" w:type="dxa"/>
        </w:tblCellMar>
      </w:tblPr>
      <w:tblGrid>
        <w:gridCol w:w="4980"/>
        <w:gridCol w:w="4983"/>
      </w:tblGrid>
      <w:tr w14:paraId="17B51CB3">
        <w:tblPrEx>
          <w:tblCellMar>
            <w:top w:w="0" w:type="dxa"/>
            <w:left w:w="108" w:type="dxa"/>
            <w:bottom w:w="0" w:type="dxa"/>
            <w:right w:w="108" w:type="dxa"/>
          </w:tblCellMar>
        </w:tblPrEx>
        <w:trPr>
          <w:jc w:val="center"/>
        </w:trPr>
        <w:tc>
          <w:tcPr>
            <w:tcW w:w="2499" w:type="pct"/>
            <w:noWrap/>
          </w:tcPr>
          <w:p w14:paraId="2468232A">
            <w:pPr>
              <w:spacing w:line="360" w:lineRule="auto"/>
              <w:rPr>
                <w:rFonts w:ascii="宋体" w:hAnsi="宋体" w:cs="宋体"/>
                <w:color w:val="000000" w:themeColor="text1"/>
                <w:spacing w:val="18"/>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 xml:space="preserve">发包人:（盖单位章）  </w:t>
            </w:r>
          </w:p>
        </w:tc>
        <w:tc>
          <w:tcPr>
            <w:tcW w:w="2500" w:type="pct"/>
            <w:noWrap/>
          </w:tcPr>
          <w:p w14:paraId="663317C6">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承包人:（盖单位章）</w:t>
            </w:r>
          </w:p>
        </w:tc>
      </w:tr>
      <w:tr w14:paraId="3A70327C">
        <w:tblPrEx>
          <w:tblCellMar>
            <w:top w:w="0" w:type="dxa"/>
            <w:left w:w="108" w:type="dxa"/>
            <w:bottom w:w="0" w:type="dxa"/>
            <w:right w:w="108" w:type="dxa"/>
          </w:tblCellMar>
        </w:tblPrEx>
        <w:trPr>
          <w:jc w:val="center"/>
        </w:trPr>
        <w:tc>
          <w:tcPr>
            <w:tcW w:w="2499" w:type="pct"/>
            <w:noWrap/>
          </w:tcPr>
          <w:p w14:paraId="4A8A1F17">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法定代表人</w:t>
            </w:r>
          </w:p>
          <w:p w14:paraId="75D34998">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或其授权的代理人：</w:t>
            </w:r>
            <w:r>
              <w:rPr>
                <w:rFonts w:hint="eastAsia" w:ascii="宋体" w:hAnsi="宋体" w:cs="宋体"/>
                <w:color w:val="000000" w:themeColor="text1"/>
                <w:kern w:val="2"/>
                <w:sz w:val="24"/>
                <w:szCs w:val="24"/>
                <w:highlight w:val="none"/>
                <w:u w:val="single"/>
                <w14:textFill>
                  <w14:solidFill>
                    <w14:schemeClr w14:val="tx1"/>
                  </w14:solidFill>
                </w14:textFill>
              </w:rPr>
              <w:t xml:space="preserve">        （签字）</w:t>
            </w:r>
          </w:p>
        </w:tc>
        <w:tc>
          <w:tcPr>
            <w:tcW w:w="2500" w:type="pct"/>
            <w:noWrap/>
          </w:tcPr>
          <w:p w14:paraId="77B28EE3">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法定代表人</w:t>
            </w:r>
          </w:p>
          <w:p w14:paraId="56609EC6">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或其授权的代理人：</w:t>
            </w:r>
            <w:r>
              <w:rPr>
                <w:rFonts w:hint="eastAsia" w:ascii="宋体" w:hAnsi="宋体" w:cs="宋体"/>
                <w:color w:val="000000" w:themeColor="text1"/>
                <w:kern w:val="2"/>
                <w:sz w:val="24"/>
                <w:szCs w:val="24"/>
                <w:highlight w:val="none"/>
                <w:u w:val="single"/>
                <w14:textFill>
                  <w14:solidFill>
                    <w14:schemeClr w14:val="tx1"/>
                  </w14:solidFill>
                </w14:textFill>
              </w:rPr>
              <w:t xml:space="preserve">        （签字）</w:t>
            </w:r>
          </w:p>
        </w:tc>
      </w:tr>
      <w:tr w14:paraId="29C87304">
        <w:tblPrEx>
          <w:tblCellMar>
            <w:top w:w="0" w:type="dxa"/>
            <w:left w:w="108" w:type="dxa"/>
            <w:bottom w:w="0" w:type="dxa"/>
            <w:right w:w="108" w:type="dxa"/>
          </w:tblCellMar>
        </w:tblPrEx>
        <w:trPr>
          <w:jc w:val="center"/>
        </w:trPr>
        <w:tc>
          <w:tcPr>
            <w:tcW w:w="2499" w:type="pct"/>
            <w:noWrap/>
          </w:tcPr>
          <w:p w14:paraId="26986DB2">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日期：年月日</w:t>
            </w:r>
          </w:p>
        </w:tc>
        <w:tc>
          <w:tcPr>
            <w:tcW w:w="2500" w:type="pct"/>
            <w:noWrap/>
          </w:tcPr>
          <w:p w14:paraId="3E977D8B">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日期：年月日</w:t>
            </w:r>
          </w:p>
        </w:tc>
      </w:tr>
      <w:tr w14:paraId="209323AB">
        <w:tblPrEx>
          <w:tblCellMar>
            <w:top w:w="0" w:type="dxa"/>
            <w:left w:w="108" w:type="dxa"/>
            <w:bottom w:w="0" w:type="dxa"/>
            <w:right w:w="108" w:type="dxa"/>
          </w:tblCellMar>
        </w:tblPrEx>
        <w:trPr>
          <w:trHeight w:val="90" w:hRule="atLeast"/>
          <w:jc w:val="center"/>
        </w:trPr>
        <w:tc>
          <w:tcPr>
            <w:tcW w:w="2499" w:type="pct"/>
            <w:noWrap/>
          </w:tcPr>
          <w:p w14:paraId="6326BF58">
            <w:pPr>
              <w:spacing w:line="360" w:lineRule="auto"/>
              <w:rPr>
                <w:rFonts w:ascii="宋体" w:hAnsi="宋体" w:cs="宋体"/>
                <w:color w:val="000000" w:themeColor="text1"/>
                <w:kern w:val="2"/>
                <w:sz w:val="24"/>
                <w:szCs w:val="24"/>
                <w:highlight w:val="none"/>
                <w14:textFill>
                  <w14:solidFill>
                    <w14:schemeClr w14:val="tx1"/>
                  </w14:solidFill>
                </w14:textFill>
              </w:rPr>
            </w:pPr>
          </w:p>
        </w:tc>
        <w:tc>
          <w:tcPr>
            <w:tcW w:w="2500" w:type="pct"/>
            <w:noWrap/>
          </w:tcPr>
          <w:p w14:paraId="26CDA874">
            <w:pPr>
              <w:spacing w:line="360" w:lineRule="auto"/>
              <w:rPr>
                <w:rFonts w:ascii="宋体" w:hAnsi="宋体" w:cs="宋体"/>
                <w:color w:val="000000" w:themeColor="text1"/>
                <w:kern w:val="2"/>
                <w:sz w:val="24"/>
                <w:szCs w:val="24"/>
                <w:highlight w:val="none"/>
                <w14:textFill>
                  <w14:solidFill>
                    <w14:schemeClr w14:val="tx1"/>
                  </w14:solidFill>
                </w14:textFill>
              </w:rPr>
            </w:pPr>
          </w:p>
        </w:tc>
      </w:tr>
      <w:tr w14:paraId="6B6F91D7">
        <w:tblPrEx>
          <w:tblCellMar>
            <w:top w:w="0" w:type="dxa"/>
            <w:left w:w="108" w:type="dxa"/>
            <w:bottom w:w="0" w:type="dxa"/>
            <w:right w:w="108" w:type="dxa"/>
          </w:tblCellMar>
        </w:tblPrEx>
        <w:trPr>
          <w:jc w:val="center"/>
        </w:trPr>
        <w:tc>
          <w:tcPr>
            <w:tcW w:w="4980" w:type="dxa"/>
            <w:noWrap/>
          </w:tcPr>
          <w:p w14:paraId="40979EA1">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 xml:space="preserve">管理人:（盖单位章）  </w:t>
            </w:r>
          </w:p>
        </w:tc>
        <w:tc>
          <w:tcPr>
            <w:tcW w:w="2500" w:type="pct"/>
            <w:noWrap/>
          </w:tcPr>
          <w:p w14:paraId="6D3E63A4">
            <w:pPr>
              <w:spacing w:line="360" w:lineRule="auto"/>
              <w:rPr>
                <w:rFonts w:ascii="宋体" w:hAnsi="宋体" w:cs="宋体"/>
                <w:color w:val="000000" w:themeColor="text1"/>
                <w:kern w:val="2"/>
                <w:sz w:val="24"/>
                <w:szCs w:val="24"/>
                <w:highlight w:val="none"/>
                <w14:textFill>
                  <w14:solidFill>
                    <w14:schemeClr w14:val="tx1"/>
                  </w14:solidFill>
                </w14:textFill>
              </w:rPr>
            </w:pPr>
          </w:p>
        </w:tc>
      </w:tr>
      <w:tr w14:paraId="1AFD480C">
        <w:tblPrEx>
          <w:tblCellMar>
            <w:top w:w="0" w:type="dxa"/>
            <w:left w:w="108" w:type="dxa"/>
            <w:bottom w:w="0" w:type="dxa"/>
            <w:right w:w="108" w:type="dxa"/>
          </w:tblCellMar>
        </w:tblPrEx>
        <w:trPr>
          <w:jc w:val="center"/>
        </w:trPr>
        <w:tc>
          <w:tcPr>
            <w:tcW w:w="4980" w:type="dxa"/>
            <w:noWrap/>
          </w:tcPr>
          <w:p w14:paraId="70124C2A">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法定代表人</w:t>
            </w:r>
          </w:p>
          <w:p w14:paraId="0CD57AC6">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或其授权的代理人：</w:t>
            </w:r>
            <w:r>
              <w:rPr>
                <w:rFonts w:hint="eastAsia" w:ascii="宋体" w:hAnsi="宋体" w:cs="宋体"/>
                <w:color w:val="000000" w:themeColor="text1"/>
                <w:kern w:val="2"/>
                <w:sz w:val="24"/>
                <w:szCs w:val="24"/>
                <w:highlight w:val="none"/>
                <w:u w:val="single"/>
                <w14:textFill>
                  <w14:solidFill>
                    <w14:schemeClr w14:val="tx1"/>
                  </w14:solidFill>
                </w14:textFill>
              </w:rPr>
              <w:t xml:space="preserve">        （签字）</w:t>
            </w:r>
          </w:p>
        </w:tc>
        <w:tc>
          <w:tcPr>
            <w:tcW w:w="2500" w:type="pct"/>
            <w:noWrap/>
          </w:tcPr>
          <w:p w14:paraId="11878C28">
            <w:pPr>
              <w:spacing w:line="360" w:lineRule="auto"/>
              <w:rPr>
                <w:rFonts w:ascii="宋体" w:hAnsi="宋体" w:cs="宋体"/>
                <w:color w:val="000000" w:themeColor="text1"/>
                <w:kern w:val="2"/>
                <w:sz w:val="24"/>
                <w:szCs w:val="24"/>
                <w:highlight w:val="none"/>
                <w14:textFill>
                  <w14:solidFill>
                    <w14:schemeClr w14:val="tx1"/>
                  </w14:solidFill>
                </w14:textFill>
              </w:rPr>
            </w:pPr>
          </w:p>
        </w:tc>
      </w:tr>
      <w:tr w14:paraId="7005D056">
        <w:tblPrEx>
          <w:tblCellMar>
            <w:top w:w="0" w:type="dxa"/>
            <w:left w:w="108" w:type="dxa"/>
            <w:bottom w:w="0" w:type="dxa"/>
            <w:right w:w="108" w:type="dxa"/>
          </w:tblCellMar>
        </w:tblPrEx>
        <w:trPr>
          <w:jc w:val="center"/>
        </w:trPr>
        <w:tc>
          <w:tcPr>
            <w:tcW w:w="4980" w:type="dxa"/>
            <w:noWrap/>
          </w:tcPr>
          <w:p w14:paraId="46656E78">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日期：年月日</w:t>
            </w:r>
          </w:p>
        </w:tc>
        <w:tc>
          <w:tcPr>
            <w:tcW w:w="2500" w:type="pct"/>
            <w:noWrap/>
          </w:tcPr>
          <w:p w14:paraId="6D5660CF">
            <w:pPr>
              <w:spacing w:line="360" w:lineRule="auto"/>
              <w:rPr>
                <w:rFonts w:ascii="宋体" w:hAnsi="宋体" w:cs="宋体"/>
                <w:color w:val="000000" w:themeColor="text1"/>
                <w:kern w:val="2"/>
                <w:sz w:val="24"/>
                <w:szCs w:val="24"/>
                <w:highlight w:val="none"/>
                <w14:textFill>
                  <w14:solidFill>
                    <w14:schemeClr w14:val="tx1"/>
                  </w14:solidFill>
                </w14:textFill>
              </w:rPr>
            </w:pPr>
          </w:p>
        </w:tc>
      </w:tr>
    </w:tbl>
    <w:p w14:paraId="74B64EF5">
      <w:pPr>
        <w:keepNext/>
        <w:keepLines/>
        <w:spacing w:line="380" w:lineRule="atLeast"/>
        <w:jc w:val="center"/>
        <w:outlineLvl w:val="0"/>
        <w:rPr>
          <w:rFonts w:ascii="宋体" w:hAnsi="宋体" w:cs="宋体"/>
          <w:b/>
          <w:color w:val="000000" w:themeColor="text1"/>
          <w:kern w:val="2"/>
          <w:sz w:val="24"/>
          <w:szCs w:val="24"/>
          <w:highlight w:val="none"/>
          <w14:textFill>
            <w14:solidFill>
              <w14:schemeClr w14:val="tx1"/>
            </w14:solidFill>
          </w14:textFill>
        </w:rPr>
      </w:pPr>
      <w:r>
        <w:rPr>
          <w:rFonts w:hint="eastAsia" w:ascii="宋体" w:hAnsi="宋体" w:cs="宋体"/>
          <w:b/>
          <w:bCs/>
          <w:color w:val="000000" w:themeColor="text1"/>
          <w:kern w:val="44"/>
          <w:sz w:val="24"/>
          <w:szCs w:val="44"/>
          <w:highlight w:val="none"/>
          <w:lang w:val="zh-CN"/>
          <w14:textFill>
            <w14:solidFill>
              <w14:schemeClr w14:val="tx1"/>
            </w14:solidFill>
          </w14:textFill>
        </w:rPr>
        <w:br w:type="page"/>
      </w:r>
      <w:r>
        <w:rPr>
          <w:rFonts w:hint="eastAsia"/>
          <w:b/>
          <w:bCs/>
          <w:color w:val="000000" w:themeColor="text1"/>
          <w:kern w:val="44"/>
          <w:sz w:val="44"/>
          <w:szCs w:val="44"/>
          <w:highlight w:val="none"/>
          <w14:textFill>
            <w14:solidFill>
              <w14:schemeClr w14:val="tx1"/>
            </w14:solidFill>
          </w14:textFill>
        </w:rPr>
        <w:t>安全生产合同</w:t>
      </w:r>
    </w:p>
    <w:p w14:paraId="5F243BA0">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为在施工合同的实施过程中创造安全、高效的施工环境，切实搞好本项目的安全管理工作，本项目发包人（发包人名称，以下简称“发包人”）、管理人（管理人名称，以下简称“发包人”）与承包人（承包人名称，以下简称“承包人”）特此签订安全生产合同。</w:t>
      </w:r>
    </w:p>
    <w:p w14:paraId="22300725">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1.发包人职责</w:t>
      </w:r>
    </w:p>
    <w:p w14:paraId="013FB0BD">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（1）严格遵守国家有关安全生产的法律法规，认真执行工程承包合同中的有关安全要求。</w:t>
      </w:r>
    </w:p>
    <w:p w14:paraId="35F6DFCD">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（2）按照“安全第一、预防为主、综合治理”和坚持“管生产必须管安全”的原则进行安全生产管理，做到生产与安全工作同时计划、布置、检查、总结和评比。</w:t>
      </w:r>
    </w:p>
    <w:p w14:paraId="1E64595F">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（3）重要的安全设施必须坚持与主体工程“三同时”的原则，即：同时设计、审批，同时施工，同时验收，投入使用。</w:t>
      </w:r>
    </w:p>
    <w:p w14:paraId="0B8C3A02">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（4）定期召开安全生产调度会，及时传达中央及地方有关安全生产的精神。</w:t>
      </w:r>
    </w:p>
    <w:p w14:paraId="5C2C0AF6">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（5）组织对承包人施工现场进行安全生产检查，监督承包人及时处理发现的各种安全隐患。</w:t>
      </w:r>
    </w:p>
    <w:p w14:paraId="3159809B">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2.承包人职责</w:t>
      </w:r>
    </w:p>
    <w:p w14:paraId="66DA41CF">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67ADBE96">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21BBC1D">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05EB3694">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（4）承包人在任何时候都应采取各种合理的预防措施，防止其员工发生任何违法、违禁、暴力或妨碍治安的行为。</w:t>
      </w:r>
    </w:p>
    <w:p w14:paraId="714BECB4">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sectPr>
          <w:footerReference r:id="rId13" w:type="default"/>
          <w:footnotePr>
            <w:numFmt w:val="decimalEnclosedCircleChinese"/>
            <w:numRestart w:val="eachPage"/>
          </w:footnotePr>
          <w:pgSz w:w="11907" w:h="16840"/>
          <w:pgMar w:top="1440" w:right="1080" w:bottom="1440" w:left="1080" w:header="851" w:footer="850" w:gutter="0"/>
          <w:pgNumType w:fmt="decimal"/>
          <w:cols w:space="720" w:num="1"/>
          <w:docGrid w:linePitch="312" w:charSpace="0"/>
        </w:sectPr>
      </w:pPr>
    </w:p>
    <w:p w14:paraId="5790077F">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1E097782">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FB8F4C1">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（7）操作人员上岗，必须按规定穿戴防护用品。施工负责人和安全检查员应随时检查劳动防护用品的穿戴情况，不按规定穿戴防护用品的人员不得上岗。</w:t>
      </w:r>
    </w:p>
    <w:p w14:paraId="53517599">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（8）所有施工机具设备和高空作业的设备均应定期检查，并有安全员的签字记录，保证其经常处于完好状态；不合格的机具、设备和劳动保护用品严禁使用。</w:t>
      </w:r>
    </w:p>
    <w:p w14:paraId="0158B76D">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（9）施工中采用新技术、新工艺、新设备、新材料时，必须制定相应的安全技术措施，施工现场必须具有相关的安全标志牌。</w:t>
      </w:r>
    </w:p>
    <w:p w14:paraId="68E6A489">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9A9BB43">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（11）安全生产费用按照</w:t>
      </w:r>
      <w:bookmarkStart w:id="228" w:name="_Toc187470650"/>
      <w:r>
        <w:rPr>
          <w:rFonts w:hint="eastAsia" w:ascii="宋体" w:hAnsi="宋体" w:cs="宋体"/>
          <w:color w:val="000000" w:themeColor="text1"/>
          <w:kern w:val="2"/>
          <w:sz w:val="24"/>
          <w:szCs w:val="24"/>
          <w:highlight w:val="none"/>
          <w14:textFill>
            <w14:solidFill>
              <w14:schemeClr w14:val="tx1"/>
            </w14:solidFill>
          </w14:textFill>
        </w:rPr>
        <w:t>《公路水运工程安全生产监督管理办法</w:t>
      </w:r>
      <w:bookmarkEnd w:id="228"/>
      <w:r>
        <w:rPr>
          <w:rFonts w:hint="eastAsia" w:ascii="宋体" w:hAnsi="宋体" w:cs="宋体"/>
          <w:color w:val="000000" w:themeColor="text1"/>
          <w:kern w:val="2"/>
          <w:sz w:val="24"/>
          <w:szCs w:val="24"/>
          <w:highlight w:val="none"/>
          <w14:textFill>
            <w14:solidFill>
              <w14:schemeClr w14:val="tx1"/>
            </w14:solidFill>
          </w14:textFill>
        </w:rPr>
        <w:t>》的相关规定使用和管理。</w:t>
      </w:r>
    </w:p>
    <w:p w14:paraId="6C382EF1">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3.违约责任</w:t>
      </w:r>
    </w:p>
    <w:p w14:paraId="44956630">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如因发包人或承包人违约造成安全事故，将依法追究责任。</w:t>
      </w:r>
    </w:p>
    <w:p w14:paraId="59C07ADF">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4.本合同由双方法定代表人或其授权的代理人签署并加盖单位章后生效，全部工程竣工验收后失效。</w:t>
      </w:r>
    </w:p>
    <w:p w14:paraId="22AE7226">
      <w:pPr>
        <w:spacing w:line="440" w:lineRule="exact"/>
        <w:ind w:firstLine="480" w:firstLineChars="20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5.本合同一式六份，合同双方各执三份。</w:t>
      </w:r>
    </w:p>
    <w:tbl>
      <w:tblPr>
        <w:tblStyle w:val="13"/>
        <w:tblW w:w="5000" w:type="pct"/>
        <w:jc w:val="center"/>
        <w:tblLayout w:type="autofit"/>
        <w:tblCellMar>
          <w:top w:w="0" w:type="dxa"/>
          <w:left w:w="108" w:type="dxa"/>
          <w:bottom w:w="0" w:type="dxa"/>
          <w:right w:w="108" w:type="dxa"/>
        </w:tblCellMar>
      </w:tblPr>
      <w:tblGrid>
        <w:gridCol w:w="4980"/>
        <w:gridCol w:w="4982"/>
      </w:tblGrid>
      <w:tr w14:paraId="7E46ACA6">
        <w:tblPrEx>
          <w:tblCellMar>
            <w:top w:w="0" w:type="dxa"/>
            <w:left w:w="108" w:type="dxa"/>
            <w:bottom w:w="0" w:type="dxa"/>
            <w:right w:w="108" w:type="dxa"/>
          </w:tblCellMar>
        </w:tblPrEx>
        <w:trPr>
          <w:jc w:val="center"/>
        </w:trPr>
        <w:tc>
          <w:tcPr>
            <w:tcW w:w="2499" w:type="pct"/>
            <w:noWrap/>
          </w:tcPr>
          <w:p w14:paraId="093D015F">
            <w:pPr>
              <w:spacing w:line="360" w:lineRule="auto"/>
              <w:rPr>
                <w:rFonts w:ascii="宋体" w:hAnsi="宋体" w:cs="宋体"/>
                <w:color w:val="000000" w:themeColor="text1"/>
                <w:spacing w:val="18"/>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 xml:space="preserve">发包人:（盖单位章）  </w:t>
            </w:r>
          </w:p>
        </w:tc>
        <w:tc>
          <w:tcPr>
            <w:tcW w:w="2500" w:type="pct"/>
            <w:noWrap/>
          </w:tcPr>
          <w:p w14:paraId="4ED33070">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承包人:（盖单位章）</w:t>
            </w:r>
          </w:p>
        </w:tc>
      </w:tr>
      <w:tr w14:paraId="60EC8FC9">
        <w:tblPrEx>
          <w:tblCellMar>
            <w:top w:w="0" w:type="dxa"/>
            <w:left w:w="108" w:type="dxa"/>
            <w:bottom w:w="0" w:type="dxa"/>
            <w:right w:w="108" w:type="dxa"/>
          </w:tblCellMar>
        </w:tblPrEx>
        <w:trPr>
          <w:jc w:val="center"/>
        </w:trPr>
        <w:tc>
          <w:tcPr>
            <w:tcW w:w="2499" w:type="pct"/>
            <w:noWrap/>
          </w:tcPr>
          <w:p w14:paraId="0AA92CCB">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法定代表人</w:t>
            </w:r>
          </w:p>
          <w:p w14:paraId="28E49AF6">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或其授权的代理人：</w:t>
            </w:r>
            <w:r>
              <w:rPr>
                <w:rFonts w:hint="eastAsia" w:ascii="宋体" w:hAnsi="宋体" w:cs="宋体"/>
                <w:color w:val="000000" w:themeColor="text1"/>
                <w:kern w:val="2"/>
                <w:sz w:val="24"/>
                <w:szCs w:val="24"/>
                <w:highlight w:val="none"/>
                <w:u w:val="single"/>
                <w14:textFill>
                  <w14:solidFill>
                    <w14:schemeClr w14:val="tx1"/>
                  </w14:solidFill>
                </w14:textFill>
              </w:rPr>
              <w:t xml:space="preserve">        （签字）</w:t>
            </w:r>
          </w:p>
        </w:tc>
        <w:tc>
          <w:tcPr>
            <w:tcW w:w="2500" w:type="pct"/>
            <w:noWrap/>
          </w:tcPr>
          <w:p w14:paraId="02106F32">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法定代表人</w:t>
            </w:r>
          </w:p>
          <w:p w14:paraId="335622EB">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或其授权的代理人：</w:t>
            </w:r>
            <w:r>
              <w:rPr>
                <w:rFonts w:hint="eastAsia" w:ascii="宋体" w:hAnsi="宋体" w:cs="宋体"/>
                <w:color w:val="000000" w:themeColor="text1"/>
                <w:kern w:val="2"/>
                <w:sz w:val="24"/>
                <w:szCs w:val="24"/>
                <w:highlight w:val="none"/>
                <w:u w:val="single"/>
                <w14:textFill>
                  <w14:solidFill>
                    <w14:schemeClr w14:val="tx1"/>
                  </w14:solidFill>
                </w14:textFill>
              </w:rPr>
              <w:t xml:space="preserve">        （签字）</w:t>
            </w:r>
          </w:p>
        </w:tc>
      </w:tr>
      <w:tr w14:paraId="6B285A5C">
        <w:tblPrEx>
          <w:tblCellMar>
            <w:top w:w="0" w:type="dxa"/>
            <w:left w:w="108" w:type="dxa"/>
            <w:bottom w:w="0" w:type="dxa"/>
            <w:right w:w="108" w:type="dxa"/>
          </w:tblCellMar>
        </w:tblPrEx>
        <w:trPr>
          <w:jc w:val="center"/>
        </w:trPr>
        <w:tc>
          <w:tcPr>
            <w:tcW w:w="2499" w:type="pct"/>
            <w:noWrap/>
          </w:tcPr>
          <w:p w14:paraId="647D99D6">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日期：年月日</w:t>
            </w:r>
          </w:p>
        </w:tc>
        <w:tc>
          <w:tcPr>
            <w:tcW w:w="2500" w:type="pct"/>
            <w:noWrap/>
          </w:tcPr>
          <w:p w14:paraId="590563F7">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日期：年月日</w:t>
            </w:r>
          </w:p>
        </w:tc>
      </w:tr>
      <w:tr w14:paraId="32331C6B">
        <w:tblPrEx>
          <w:tblCellMar>
            <w:top w:w="0" w:type="dxa"/>
            <w:left w:w="108" w:type="dxa"/>
            <w:bottom w:w="0" w:type="dxa"/>
            <w:right w:w="108" w:type="dxa"/>
          </w:tblCellMar>
        </w:tblPrEx>
        <w:trPr>
          <w:jc w:val="center"/>
        </w:trPr>
        <w:tc>
          <w:tcPr>
            <w:tcW w:w="4980" w:type="dxa"/>
            <w:noWrap/>
          </w:tcPr>
          <w:p w14:paraId="3C950FF3">
            <w:pPr>
              <w:spacing w:line="360" w:lineRule="auto"/>
              <w:rPr>
                <w:rFonts w:ascii="宋体" w:hAnsi="宋体" w:cs="宋体"/>
                <w:color w:val="000000" w:themeColor="text1"/>
                <w:kern w:val="2"/>
                <w:sz w:val="24"/>
                <w:szCs w:val="24"/>
                <w:highlight w:val="none"/>
                <w14:textFill>
                  <w14:solidFill>
                    <w14:schemeClr w14:val="tx1"/>
                  </w14:solidFill>
                </w14:textFill>
              </w:rPr>
            </w:pPr>
          </w:p>
        </w:tc>
        <w:tc>
          <w:tcPr>
            <w:tcW w:w="2500" w:type="pct"/>
            <w:noWrap/>
          </w:tcPr>
          <w:p w14:paraId="33E488A7">
            <w:pPr>
              <w:spacing w:line="360" w:lineRule="auto"/>
              <w:rPr>
                <w:rFonts w:ascii="宋体" w:hAnsi="宋体" w:cs="宋体"/>
                <w:color w:val="000000" w:themeColor="text1"/>
                <w:kern w:val="2"/>
                <w:sz w:val="24"/>
                <w:szCs w:val="24"/>
                <w:highlight w:val="none"/>
                <w14:textFill>
                  <w14:solidFill>
                    <w14:schemeClr w14:val="tx1"/>
                  </w14:solidFill>
                </w14:textFill>
              </w:rPr>
            </w:pPr>
          </w:p>
        </w:tc>
      </w:tr>
      <w:tr w14:paraId="3CFD64AA">
        <w:tblPrEx>
          <w:tblCellMar>
            <w:top w:w="0" w:type="dxa"/>
            <w:left w:w="108" w:type="dxa"/>
            <w:bottom w:w="0" w:type="dxa"/>
            <w:right w:w="108" w:type="dxa"/>
          </w:tblCellMar>
        </w:tblPrEx>
        <w:trPr>
          <w:jc w:val="center"/>
        </w:trPr>
        <w:tc>
          <w:tcPr>
            <w:tcW w:w="4980" w:type="dxa"/>
            <w:noWrap/>
          </w:tcPr>
          <w:p w14:paraId="316B5D1D">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 xml:space="preserve">管理人:（盖单位章）  </w:t>
            </w:r>
          </w:p>
        </w:tc>
        <w:tc>
          <w:tcPr>
            <w:tcW w:w="2500" w:type="pct"/>
            <w:noWrap/>
          </w:tcPr>
          <w:p w14:paraId="65433B2F">
            <w:pPr>
              <w:spacing w:line="360" w:lineRule="auto"/>
              <w:rPr>
                <w:rFonts w:ascii="宋体" w:hAnsi="宋体" w:cs="宋体"/>
                <w:color w:val="000000" w:themeColor="text1"/>
                <w:kern w:val="2"/>
                <w:sz w:val="24"/>
                <w:szCs w:val="24"/>
                <w:highlight w:val="none"/>
                <w14:textFill>
                  <w14:solidFill>
                    <w14:schemeClr w14:val="tx1"/>
                  </w14:solidFill>
                </w14:textFill>
              </w:rPr>
            </w:pPr>
          </w:p>
        </w:tc>
      </w:tr>
      <w:tr w14:paraId="0646E231">
        <w:tblPrEx>
          <w:tblCellMar>
            <w:top w:w="0" w:type="dxa"/>
            <w:left w:w="108" w:type="dxa"/>
            <w:bottom w:w="0" w:type="dxa"/>
            <w:right w:w="108" w:type="dxa"/>
          </w:tblCellMar>
        </w:tblPrEx>
        <w:trPr>
          <w:jc w:val="center"/>
        </w:trPr>
        <w:tc>
          <w:tcPr>
            <w:tcW w:w="4980" w:type="dxa"/>
            <w:noWrap/>
          </w:tcPr>
          <w:p w14:paraId="2DF8DF8F">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法定代表人</w:t>
            </w:r>
          </w:p>
          <w:p w14:paraId="1D8F51AA">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或其授权的代理人：</w:t>
            </w:r>
            <w:r>
              <w:rPr>
                <w:rFonts w:hint="eastAsia" w:ascii="宋体" w:hAnsi="宋体" w:cs="宋体"/>
                <w:color w:val="000000" w:themeColor="text1"/>
                <w:kern w:val="2"/>
                <w:sz w:val="24"/>
                <w:szCs w:val="24"/>
                <w:highlight w:val="none"/>
                <w:u w:val="single"/>
                <w14:textFill>
                  <w14:solidFill>
                    <w14:schemeClr w14:val="tx1"/>
                  </w14:solidFill>
                </w14:textFill>
              </w:rPr>
              <w:t xml:space="preserve">        （签字）</w:t>
            </w:r>
          </w:p>
        </w:tc>
        <w:tc>
          <w:tcPr>
            <w:tcW w:w="2500" w:type="pct"/>
            <w:noWrap/>
          </w:tcPr>
          <w:p w14:paraId="1AA30485">
            <w:pPr>
              <w:spacing w:line="360" w:lineRule="auto"/>
              <w:rPr>
                <w:rFonts w:ascii="宋体" w:hAnsi="宋体" w:cs="宋体"/>
                <w:color w:val="000000" w:themeColor="text1"/>
                <w:kern w:val="2"/>
                <w:sz w:val="24"/>
                <w:szCs w:val="24"/>
                <w:highlight w:val="none"/>
                <w14:textFill>
                  <w14:solidFill>
                    <w14:schemeClr w14:val="tx1"/>
                  </w14:solidFill>
                </w14:textFill>
              </w:rPr>
            </w:pPr>
          </w:p>
        </w:tc>
      </w:tr>
      <w:tr w14:paraId="6FB4302E">
        <w:tblPrEx>
          <w:tblCellMar>
            <w:top w:w="0" w:type="dxa"/>
            <w:left w:w="108" w:type="dxa"/>
            <w:bottom w:w="0" w:type="dxa"/>
            <w:right w:w="108" w:type="dxa"/>
          </w:tblCellMar>
        </w:tblPrEx>
        <w:trPr>
          <w:jc w:val="center"/>
        </w:trPr>
        <w:tc>
          <w:tcPr>
            <w:tcW w:w="4980" w:type="dxa"/>
            <w:noWrap/>
          </w:tcPr>
          <w:p w14:paraId="29C6589A">
            <w:pPr>
              <w:spacing w:line="360" w:lineRule="auto"/>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日期：年月日</w:t>
            </w:r>
          </w:p>
        </w:tc>
        <w:tc>
          <w:tcPr>
            <w:tcW w:w="2500" w:type="pct"/>
            <w:noWrap/>
          </w:tcPr>
          <w:p w14:paraId="4103198C">
            <w:pPr>
              <w:spacing w:line="360" w:lineRule="auto"/>
              <w:rPr>
                <w:rFonts w:ascii="宋体" w:hAnsi="宋体" w:cs="宋体"/>
                <w:color w:val="000000" w:themeColor="text1"/>
                <w:kern w:val="2"/>
                <w:sz w:val="24"/>
                <w:szCs w:val="24"/>
                <w:highlight w:val="none"/>
                <w14:textFill>
                  <w14:solidFill>
                    <w14:schemeClr w14:val="tx1"/>
                  </w14:solidFill>
                </w14:textFill>
              </w:rPr>
            </w:pPr>
          </w:p>
        </w:tc>
      </w:tr>
    </w:tbl>
    <w:p w14:paraId="3B8D8ED5">
      <w:pPr>
        <w:spacing w:line="400" w:lineRule="exact"/>
        <w:ind w:firstLine="0" w:firstLineChars="0"/>
        <w:jc w:val="left"/>
        <w:rPr>
          <w:rFonts w:ascii="宋体" w:hAnsi="宋体"/>
          <w:color w:val="000000" w:themeColor="text1"/>
          <w:kern w:val="2"/>
          <w:szCs w:val="24"/>
          <w:highlight w:val="none"/>
          <w14:textFill>
            <w14:solidFill>
              <w14:schemeClr w14:val="tx1"/>
            </w14:solidFill>
          </w14:textFill>
        </w:rPr>
        <w:sectPr>
          <w:footerReference r:id="rId14" w:type="default"/>
          <w:pgSz w:w="11906" w:h="16838"/>
          <w:pgMar w:top="1440" w:right="1080" w:bottom="1440" w:left="1080" w:header="851" w:footer="907" w:gutter="0"/>
          <w:pgNumType w:fmt="decimal"/>
          <w:cols w:space="1701" w:num="1"/>
          <w:docGrid w:linePitch="360" w:charSpace="0"/>
        </w:sectPr>
      </w:pPr>
    </w:p>
    <w:p w14:paraId="07CFD4DA">
      <w:pPr>
        <w:pStyle w:val="2"/>
        <w:spacing w:line="360" w:lineRule="auto"/>
        <w:jc w:val="center"/>
        <w:rPr>
          <w:color w:val="000000" w:themeColor="text1"/>
          <w:highlight w:val="none"/>
          <w14:textFill>
            <w14:solidFill>
              <w14:schemeClr w14:val="tx1"/>
            </w14:solidFill>
          </w14:textFill>
        </w:rPr>
      </w:pPr>
      <w:bookmarkStart w:id="229" w:name="_Toc3001"/>
      <w:r>
        <w:rPr>
          <w:rFonts w:hint="eastAsia"/>
          <w:color w:val="000000" w:themeColor="text1"/>
          <w:highlight w:val="none"/>
          <w14:textFill>
            <w14:solidFill>
              <w14:schemeClr w14:val="tx1"/>
            </w14:solidFill>
          </w14:textFill>
        </w:rPr>
        <w:t>第四章 采购需求</w:t>
      </w:r>
      <w:bookmarkEnd w:id="229"/>
    </w:p>
    <w:p w14:paraId="1AA9C271">
      <w:pPr>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项目属性：工程类项目</w:t>
      </w:r>
    </w:p>
    <w:p w14:paraId="144C3EEE">
      <w:pPr>
        <w:spacing w:line="400" w:lineRule="exact"/>
        <w:ind w:firstLine="48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本项目采购标的对应的中小企业划分标准所属行业：</w:t>
      </w:r>
      <w:r>
        <w:rPr>
          <w:rFonts w:hint="eastAsia" w:ascii="宋体" w:hAnsi="宋体" w:cs="宋体"/>
          <w:color w:val="000000" w:themeColor="text1"/>
          <w:sz w:val="24"/>
          <w:szCs w:val="24"/>
          <w:highlight w:val="none"/>
          <w:u w:val="single"/>
          <w14:textFill>
            <w14:solidFill>
              <w14:schemeClr w14:val="tx1"/>
            </w14:solidFill>
          </w14:textFill>
        </w:rPr>
        <w:t>建筑业</w:t>
      </w:r>
    </w:p>
    <w:p w14:paraId="09B9B542">
      <w:pPr>
        <w:spacing w:line="400" w:lineRule="exact"/>
        <w:ind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w:t>
      </w:r>
      <w:r>
        <w:rPr>
          <w:rFonts w:hint="eastAsia" w:ascii="宋体" w:hAnsi="宋体" w:cs="宋体"/>
          <w:color w:val="000000" w:themeColor="text1"/>
          <w:sz w:val="24"/>
          <w:szCs w:val="24"/>
          <w:highlight w:val="none"/>
          <w:u w:val="single"/>
          <w14:textFill>
            <w14:solidFill>
              <w14:schemeClr w14:val="tx1"/>
            </w14:solidFill>
          </w14:textFill>
        </w:rPr>
        <w:t>不接受</w:t>
      </w:r>
      <w:r>
        <w:rPr>
          <w:rFonts w:hint="eastAsia" w:ascii="宋体" w:hAnsi="宋体" w:cs="宋体"/>
          <w:color w:val="000000" w:themeColor="text1"/>
          <w:sz w:val="24"/>
          <w:szCs w:val="24"/>
          <w:highlight w:val="none"/>
          <w14:textFill>
            <w14:solidFill>
              <w14:schemeClr w14:val="tx1"/>
            </w14:solidFill>
          </w14:textFill>
        </w:rPr>
        <w:t>（接受/不接受）进口产品。</w:t>
      </w:r>
    </w:p>
    <w:p w14:paraId="6F7F60BF">
      <w:pPr>
        <w:pStyle w:val="30"/>
        <w:numPr>
          <w:ilvl w:val="0"/>
          <w:numId w:val="5"/>
        </w:numPr>
        <w:spacing w:line="400" w:lineRule="exact"/>
        <w:ind w:left="0" w:firstLine="482"/>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项目简介</w:t>
      </w:r>
    </w:p>
    <w:p w14:paraId="59A42B90">
      <w:pPr>
        <w:pStyle w:val="30"/>
        <w:numPr>
          <w:ilvl w:val="0"/>
          <w:numId w:val="6"/>
        </w:numPr>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r>
        <w:rPr>
          <w:rFonts w:hint="eastAsia"/>
          <w:color w:val="000000" w:themeColor="text1"/>
          <w:sz w:val="24"/>
          <w:szCs w:val="24"/>
          <w:highlight w:val="none"/>
          <w14:textFill>
            <w14:solidFill>
              <w14:schemeClr w14:val="tx1"/>
            </w14:solidFill>
          </w14:textFill>
        </w:rPr>
        <w:t>沭阳公路超限检测站预检系统改造</w:t>
      </w:r>
    </w:p>
    <w:p w14:paraId="65A57174">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（二）项目最高限价</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130万元</w:t>
      </w:r>
      <w:r>
        <w:rPr>
          <w:rFonts w:hint="eastAsia" w:ascii="宋体" w:hAnsi="宋体" w:cs="宋体"/>
          <w:color w:val="000000" w:themeColor="text1"/>
          <w:sz w:val="24"/>
          <w:szCs w:val="24"/>
          <w:highlight w:val="none"/>
          <w14:textFill>
            <w14:solidFill>
              <w14:schemeClr w14:val="tx1"/>
            </w14:solidFill>
          </w14:textFill>
        </w:rPr>
        <w:t>。</w:t>
      </w:r>
    </w:p>
    <w:p w14:paraId="72BEF403">
      <w:pPr>
        <w:pStyle w:val="30"/>
        <w:spacing w:line="400" w:lineRule="exact"/>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w:t>
      </w:r>
      <w:r>
        <w:rPr>
          <w:rFonts w:hint="eastAsia" w:ascii="宋体" w:hAnsi="宋体" w:cs="宋体"/>
          <w:color w:val="000000" w:themeColor="text1"/>
          <w:sz w:val="24"/>
          <w:szCs w:val="24"/>
          <w:highlight w:val="none"/>
          <w:lang w:val="en-US" w:eastAsia="zh-CN"/>
          <w14:textFill>
            <w14:solidFill>
              <w14:schemeClr w14:val="tx1"/>
            </w14:solidFill>
          </w14:textFill>
        </w:rPr>
        <w:t>工期：</w:t>
      </w:r>
      <w:r>
        <w:rPr>
          <w:rFonts w:hint="eastAsia" w:ascii="宋体" w:hAnsi="宋体" w:cs="宋体"/>
          <w:color w:val="000000" w:themeColor="text1"/>
          <w:sz w:val="24"/>
          <w:szCs w:val="24"/>
          <w:highlight w:val="none"/>
          <w14:textFill>
            <w14:solidFill>
              <w14:schemeClr w14:val="tx1"/>
            </w14:solidFill>
          </w14:textFill>
        </w:rPr>
        <w:t xml:space="preserve">70日历天 </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缺陷责任期</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2年</w:t>
      </w:r>
      <w:r>
        <w:rPr>
          <w:rFonts w:hint="eastAsia" w:ascii="宋体" w:hAnsi="宋体" w:cs="宋体"/>
          <w:color w:val="000000" w:themeColor="text1"/>
          <w:sz w:val="24"/>
          <w:szCs w:val="24"/>
          <w:highlight w:val="none"/>
          <w:lang w:eastAsia="zh-CN"/>
          <w14:textFill>
            <w14:solidFill>
              <w14:schemeClr w14:val="tx1"/>
            </w14:solidFill>
          </w14:textFill>
        </w:rPr>
        <w:t>。</w:t>
      </w:r>
    </w:p>
    <w:p w14:paraId="2AF449A0">
      <w:pPr>
        <w:pStyle w:val="39"/>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（四）质量要求：工程质量符合合格标准；工程安全目标：严格执行有关安全生产的法律法规和规章制度，确保：无安全生产责任事故；工程环保要求：符合国家及省市有关规定合格 。</w:t>
      </w:r>
    </w:p>
    <w:p w14:paraId="54AC35FE">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（五）采购内容：沭阳公路超</w:t>
      </w:r>
      <w:r>
        <w:rPr>
          <w:rFonts w:hint="eastAsia" w:ascii="宋体" w:hAnsi="宋体" w:cs="宋体"/>
          <w:color w:val="000000" w:themeColor="text1"/>
          <w:sz w:val="24"/>
          <w:szCs w:val="24"/>
          <w:highlight w:val="none"/>
          <w14:textFill>
            <w14:solidFill>
              <w14:schemeClr w14:val="tx1"/>
            </w14:solidFill>
          </w14:textFill>
        </w:rPr>
        <w:t>限检测站预检系统始建于2013年，系统位置位于沭阳县扎下镇G205上行桩号K1041+300处。</w:t>
      </w:r>
    </w:p>
    <w:p w14:paraId="38BF8B5B">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本次改造的内容包括</w:t>
      </w:r>
      <w:r>
        <w:rPr>
          <w:rFonts w:ascii="宋体" w:hAnsi="宋体" w:cs="宋体"/>
          <w:color w:val="000000" w:themeColor="text1"/>
          <w:sz w:val="24"/>
          <w:szCs w:val="24"/>
          <w:highlight w:val="none"/>
          <w14:textFill>
            <w14:solidFill>
              <w14:schemeClr w14:val="tx1"/>
            </w14:solidFill>
          </w14:textFill>
        </w:rPr>
        <w:t>路面改造</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动态称重子系统</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车牌车貌识别系统等的采购、安装、调试、工程实施、技术对接及售后服务工作等相关技术服务。</w:t>
      </w:r>
      <w:r>
        <w:rPr>
          <w:rFonts w:hint="eastAsia" w:ascii="宋体" w:hAnsi="宋体" w:cs="宋体"/>
          <w:color w:val="000000" w:themeColor="text1"/>
          <w:sz w:val="24"/>
          <w:szCs w:val="24"/>
          <w:highlight w:val="none"/>
          <w14:textFill>
            <w14:solidFill>
              <w14:schemeClr w14:val="tx1"/>
            </w14:solidFill>
          </w14:textFill>
        </w:rPr>
        <w:t>软硬件质保期5年。具体内容详见工程量清单。</w:t>
      </w:r>
    </w:p>
    <w:p w14:paraId="4AC7A2E3">
      <w:pPr>
        <w:pStyle w:val="30"/>
        <w:numPr>
          <w:ilvl w:val="0"/>
          <w:numId w:val="0"/>
        </w:numPr>
        <w:spacing w:line="400" w:lineRule="exact"/>
        <w:ind w:firstLine="480" w:firstLineChars="0"/>
        <w:rPr>
          <w:bCs/>
          <w:color w:val="000000" w:themeColor="text1"/>
          <w:sz w:val="24"/>
          <w:highlight w:val="none"/>
          <w14:textFill>
            <w14:solidFill>
              <w14:schemeClr w14:val="tx1"/>
            </w14:solidFill>
          </w14:textFill>
        </w:rPr>
      </w:pPr>
      <w:r>
        <w:rPr>
          <w:rFonts w:hint="eastAsia" w:ascii="Calibri" w:hAnsi="Calibri" w:eastAsia="宋体" w:cs="Times New Roman"/>
          <w:bCs/>
          <w:color w:val="000000" w:themeColor="text1"/>
          <w:sz w:val="24"/>
          <w:szCs w:val="22"/>
          <w:highlight w:val="none"/>
          <w:lang w:val="en-US" w:eastAsia="zh-CN" w:bidi="ar-SA"/>
          <w14:textFill>
            <w14:solidFill>
              <w14:schemeClr w14:val="tx1"/>
            </w14:solidFill>
          </w14:textFill>
        </w:rPr>
        <w:t>（六）</w:t>
      </w:r>
      <w:r>
        <w:rPr>
          <w:rFonts w:hint="eastAsia" w:ascii="宋体" w:hAnsi="宋体" w:cs="宋体"/>
          <w:color w:val="000000" w:themeColor="text1"/>
          <w:sz w:val="24"/>
          <w:szCs w:val="24"/>
          <w:highlight w:val="none"/>
          <w14:textFill>
            <w14:solidFill>
              <w14:schemeClr w14:val="tx1"/>
            </w14:solidFill>
          </w14:textFill>
        </w:rPr>
        <w:t>付款方式：</w:t>
      </w:r>
      <w:r>
        <w:rPr>
          <w:rFonts w:hint="eastAsia"/>
          <w:bCs/>
          <w:color w:val="000000" w:themeColor="text1"/>
          <w:sz w:val="24"/>
          <w:highlight w:val="none"/>
          <w14:textFill>
            <w14:solidFill>
              <w14:schemeClr w14:val="tx1"/>
            </w14:solidFill>
          </w14:textFill>
        </w:rPr>
        <w:t>合同签订后，承包人向发包人提供合同价10%的预付款保函后，发包人支付合同价的10%作为预付款；联调联试合格交工验收后支付至合同价款的80%；缺陷责任期满后支付剩余</w:t>
      </w:r>
      <w:r>
        <w:rPr>
          <w:rFonts w:hint="eastAsia"/>
          <w:bCs/>
          <w:color w:val="000000" w:themeColor="text1"/>
          <w:sz w:val="24"/>
          <w:highlight w:val="none"/>
          <w:lang w:val="en-US" w:eastAsia="zh-CN"/>
          <w14:textFill>
            <w14:solidFill>
              <w14:schemeClr w14:val="tx1"/>
            </w14:solidFill>
          </w14:textFill>
        </w:rPr>
        <w:t>合同价款</w:t>
      </w:r>
      <w:r>
        <w:rPr>
          <w:rFonts w:hint="eastAsia"/>
          <w:bCs/>
          <w:color w:val="000000" w:themeColor="text1"/>
          <w:sz w:val="24"/>
          <w:highlight w:val="none"/>
          <w14:textFill>
            <w14:solidFill>
              <w14:schemeClr w14:val="tx1"/>
            </w14:solidFill>
          </w14:textFill>
        </w:rPr>
        <w:t>。</w:t>
      </w:r>
    </w:p>
    <w:p w14:paraId="31D9F450">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1.在签订合同时，中标人明确表示无需预付款或者主动要求降低预付款比例的金额，采购人可不适用预付款规定；2.对于满足合同约定支付条件的，自收到发票后10个工作日内将资金支付到合同约定的供应商账户或供应商数字人民币账户。</w:t>
      </w:r>
    </w:p>
    <w:p w14:paraId="6A065CDF">
      <w:pPr>
        <w:pStyle w:val="30"/>
        <w:spacing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（七）考核（验收）要求：</w:t>
      </w:r>
    </w:p>
    <w:p w14:paraId="3CB491D8">
      <w:pPr>
        <w:pStyle w:val="30"/>
        <w:spacing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根据国家、相关部门颁发的相关施工技术规范、验收标准及质量检验评定标准等规定，工程质量要求合格。</w:t>
      </w:r>
    </w:p>
    <w:p w14:paraId="14C7EA7F">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系统需经第三方检定满足江苏省公路货车动态监测设施执法精度要求，并与省平台完成数据接入。</w:t>
      </w:r>
    </w:p>
    <w:p w14:paraId="7D2BF52E">
      <w:pPr>
        <w:pStyle w:val="30"/>
        <w:numPr>
          <w:ilvl w:val="0"/>
          <w:numId w:val="5"/>
        </w:numPr>
        <w:spacing w:line="400" w:lineRule="exact"/>
        <w:ind w:left="0" w:firstLine="482"/>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技术要求及规范</w:t>
      </w:r>
    </w:p>
    <w:p w14:paraId="6BD8380C">
      <w:pPr>
        <w:pStyle w:val="30"/>
        <w:spacing w:line="400" w:lineRule="exact"/>
        <w:ind w:firstLine="48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2.1主要设备技术参数及施工要求</w:t>
      </w:r>
    </w:p>
    <w:p w14:paraId="53C3ED09">
      <w:pPr>
        <w:pStyle w:val="30"/>
        <w:spacing w:line="400" w:lineRule="exact"/>
        <w:ind w:firstLine="48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为满足江苏省公路货车动态监测设施执法精度要求，并与省平台完成数据接入。</w:t>
      </w:r>
    </w:p>
    <w:p w14:paraId="69AE803E">
      <w:pPr>
        <w:pStyle w:val="30"/>
        <w:spacing w:line="400" w:lineRule="exact"/>
        <w:ind w:firstLine="48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本项目的主要设备即公路动态汽车衡，应具有省级及以上质量技术监督部门颁发的《动态汽车衡计量器具型式批准证书》。</w:t>
      </w:r>
    </w:p>
    <w:p w14:paraId="4BA6C70D">
      <w:pPr>
        <w:ind w:firstLine="562" w:firstLineChars="200"/>
        <w:rPr>
          <w:rFonts w:hint="default" w:ascii="仿宋_GB2312" w:hAnsi="Calibri" w:eastAsia="仿宋_GB2312" w:cs="Times New Roman"/>
          <w:b/>
          <w:color w:val="000000" w:themeColor="text1"/>
          <w:sz w:val="28"/>
          <w:highlight w:val="none"/>
          <w14:textFill>
            <w14:solidFill>
              <w14:schemeClr w14:val="tx1"/>
            </w14:solidFill>
          </w14:textFill>
        </w:rPr>
      </w:pPr>
      <w:r>
        <w:rPr>
          <w:rFonts w:hint="eastAsia" w:ascii="仿宋_GB2312" w:hAnsi="Calibri" w:eastAsia="仿宋_GB2312" w:cs="Times New Roman"/>
          <w:b/>
          <w:color w:val="000000" w:themeColor="text1"/>
          <w:sz w:val="28"/>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供应商须在响应文件</w:t>
      </w:r>
      <w:r>
        <w:rPr>
          <w:rFonts w:hint="eastAsia" w:ascii="宋体" w:hAnsi="宋体" w:cs="宋体"/>
          <w:b/>
          <w:bCs/>
          <w:color w:val="000000" w:themeColor="text1"/>
          <w:sz w:val="24"/>
          <w:szCs w:val="24"/>
          <w:highlight w:val="none"/>
          <w14:textFill>
            <w14:solidFill>
              <w14:schemeClr w14:val="tx1"/>
            </w14:solidFill>
          </w14:textFill>
        </w:rPr>
        <w:t>中</w:t>
      </w:r>
      <w:r>
        <w:rPr>
          <w:rFonts w:hint="eastAsia" w:ascii="宋体" w:hAnsi="宋体" w:cs="宋体"/>
          <w:b/>
          <w:bCs/>
          <w:color w:val="000000" w:themeColor="text1"/>
          <w:sz w:val="24"/>
          <w:szCs w:val="24"/>
          <w:highlight w:val="none"/>
          <w:lang w:val="en-US" w:eastAsia="zh-CN"/>
          <w14:textFill>
            <w14:solidFill>
              <w14:schemeClr w14:val="tx1"/>
            </w14:solidFill>
          </w14:textFill>
        </w:rPr>
        <w:t>提供</w:t>
      </w:r>
      <w:r>
        <w:rPr>
          <w:rFonts w:hint="eastAsia" w:ascii="宋体" w:hAnsi="宋体" w:cs="宋体"/>
          <w:b/>
          <w:bCs/>
          <w:color w:val="000000" w:themeColor="text1"/>
          <w:sz w:val="24"/>
          <w:szCs w:val="24"/>
          <w:highlight w:val="none"/>
          <w14:textFill>
            <w14:solidFill>
              <w14:schemeClr w14:val="tx1"/>
            </w14:solidFill>
          </w14:textFill>
        </w:rPr>
        <w:t>所投主要设备省级及以上质量技术监督部门颁发的《</w:t>
      </w:r>
      <w:r>
        <w:rPr>
          <w:rFonts w:hint="eastAsia" w:ascii="宋体" w:hAnsi="宋体" w:cs="宋体"/>
          <w:b/>
          <w:bCs/>
          <w:color w:val="000000" w:themeColor="text1"/>
          <w:sz w:val="24"/>
          <w:szCs w:val="24"/>
          <w:highlight w:val="none"/>
          <w14:textFill>
            <w14:solidFill>
              <w14:schemeClr w14:val="tx1"/>
            </w14:solidFill>
          </w14:textFill>
        </w:rPr>
        <w:t>动态汽车衡</w:t>
      </w:r>
      <w:r>
        <w:rPr>
          <w:rFonts w:hint="eastAsia" w:ascii="宋体" w:hAnsi="宋体" w:cs="宋体"/>
          <w:b/>
          <w:bCs/>
          <w:color w:val="000000" w:themeColor="text1"/>
          <w:sz w:val="24"/>
          <w:szCs w:val="24"/>
          <w:highlight w:val="none"/>
          <w14:textFill>
            <w14:solidFill>
              <w14:schemeClr w14:val="tx1"/>
            </w14:solidFill>
          </w14:textFill>
        </w:rPr>
        <w:t>计量器具型式批准证书》。</w:t>
      </w:r>
      <w:r>
        <w:rPr>
          <w:rFonts w:hint="eastAsia" w:ascii="仿宋_GB2312" w:hAnsi="Calibri" w:eastAsia="仿宋_GB2312" w:cs="Times New Roman"/>
          <w:b/>
          <w:color w:val="000000" w:themeColor="text1"/>
          <w:sz w:val="28"/>
          <w:highlight w:val="none"/>
          <w14:textFill>
            <w14:solidFill>
              <w14:schemeClr w14:val="tx1"/>
            </w14:solidFill>
          </w14:textFill>
        </w:rPr>
        <w:t>注：</w:t>
      </w:r>
      <w:bookmarkStart w:id="230" w:name="OLE_LINK192"/>
      <w:bookmarkStart w:id="231" w:name="OLE_LINK193"/>
      <w:r>
        <w:rPr>
          <w:rFonts w:hint="eastAsia" w:ascii="仿宋_GB2312" w:hAnsi="Calibri" w:eastAsia="仿宋_GB2312" w:cs="Times New Roman"/>
          <w:b/>
          <w:color w:val="000000" w:themeColor="text1"/>
          <w:sz w:val="28"/>
          <w:highlight w:val="none"/>
          <w14:textFill>
            <w14:solidFill>
              <w14:schemeClr w14:val="tx1"/>
            </w14:solidFill>
          </w14:textFill>
        </w:rPr>
        <w:t>★</w:t>
      </w:r>
      <w:bookmarkEnd w:id="230"/>
      <w:bookmarkEnd w:id="231"/>
      <w:r>
        <w:rPr>
          <w:rFonts w:hint="eastAsia" w:ascii="仿宋_GB2312" w:hAnsi="Calibri" w:eastAsia="仿宋_GB2312" w:cs="Times New Roman"/>
          <w:b/>
          <w:color w:val="000000" w:themeColor="text1"/>
          <w:sz w:val="28"/>
          <w:highlight w:val="none"/>
          <w14:textFill>
            <w14:solidFill>
              <w14:schemeClr w14:val="tx1"/>
            </w14:solidFill>
          </w14:textFill>
        </w:rPr>
        <w:t>部分为实质性要求，不接受负偏离，否则按无效标处理。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630"/>
        <w:gridCol w:w="6130"/>
        <w:gridCol w:w="720"/>
        <w:gridCol w:w="729"/>
      </w:tblGrid>
      <w:tr w14:paraId="7566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1E1E814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序号</w:t>
            </w:r>
          </w:p>
        </w:tc>
        <w:tc>
          <w:tcPr>
            <w:tcW w:w="1630" w:type="dxa"/>
            <w:vAlign w:val="center"/>
          </w:tcPr>
          <w:p w14:paraId="55853AE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名  称</w:t>
            </w:r>
          </w:p>
        </w:tc>
        <w:tc>
          <w:tcPr>
            <w:tcW w:w="6130" w:type="dxa"/>
            <w:vAlign w:val="center"/>
          </w:tcPr>
          <w:p w14:paraId="55D8C55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功能及技术要求</w:t>
            </w:r>
          </w:p>
        </w:tc>
        <w:tc>
          <w:tcPr>
            <w:tcW w:w="720" w:type="dxa"/>
            <w:vAlign w:val="center"/>
          </w:tcPr>
          <w:p w14:paraId="5EF7237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w:t>
            </w:r>
          </w:p>
        </w:tc>
        <w:tc>
          <w:tcPr>
            <w:tcW w:w="729" w:type="dxa"/>
            <w:vAlign w:val="center"/>
          </w:tcPr>
          <w:p w14:paraId="007CB4A3">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数量</w:t>
            </w:r>
          </w:p>
        </w:tc>
      </w:tr>
      <w:tr w14:paraId="28DE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79EB3B85">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630" w:type="dxa"/>
          </w:tcPr>
          <w:p w14:paraId="6FA03A15">
            <w:pPr>
              <w:pStyle w:val="3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高清环保抓拍（卡口）相机</w:t>
            </w:r>
          </w:p>
        </w:tc>
        <w:tc>
          <w:tcPr>
            <w:tcW w:w="6130" w:type="dxa"/>
            <w:shd w:val="clear" w:color="auto" w:fill="auto"/>
            <w:vAlign w:val="center"/>
          </w:tcPr>
          <w:p w14:paraId="292ABF0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1.包含高清一体化嵌入式摄像机（不低于900万像素）、高清镜头、室外防护罩、相机内置网络信号防雷器、电源适配器等；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2.分辨率不低于4096×2160，字符叠加时最大可支持4096×2800，帧率支持25fps，视频压缩支持H.265、H.264、M-JPEG；</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3.设备的镜头和两个sensor一体化设计，具有独立三角分光棱镜分光结构装置，分别接收可见光和红外光；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相机靶面尺寸不低于1英寸，可分别输出黑白及彩色图像，可对视频图像和抓拍图片进行融合输出，支持主码流同时输出不少于30路4096×2160、2Mbps的25帧/s图包含高清一体化嵌入式摄像机（不低于900万像素）、高清镜头、室外防护罩、相机内置网络信号防雷器、电源适配器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5.设备的镜头和两个sensor一体化设计，具有独立三角分光棱镜分光结构装置，分别接收可见光和红外光；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6.支持车辆捕获功能，白天、晚上捕获率≥99%，具备车辆号牌识别功能，白天、夜晚车牌识别准确率≥99%；</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7.护罩玻璃透光率≥99%，支持驾驶人脸部特征信息大于50×50个像素点、夜间环境照度在10lx~30lx范围的情况下，配合LED补光与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红外爆闪补光，输出高清人脸抠图；</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支持牛眼灯下的车牌识别功能，抓拍图片车牌，抓拍图片车牌清晰可见，支持识别并抓拍垂直倾斜角度≤55°、水平倾斜角度≤35°、俯仰角度≤40°的机动车车牌；（</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提供含有公安部安全防范报警系统产品质量监督检验测试中心出具的检测报告复印件加盖投标人公章）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9.支持识别不少于 39 种车身颜色，支持识别不少于50种车型，支持检测并跟踪指定区域内不少于 240个目标；</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10.支持异常车牌检测功能，可对故意遮挡及污损车牌进行判断和识别，可对80×25至1200 × 380像素的机动车车牌进行抓拍并识别号码；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11.摄像机内置红绿灯状态视频检测、车辆视频检测、车牌识别、视频测速、车身颜色识别、车标识别功能；</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12.支持闯红灯抓拍功能，在天气晴朗无雾，号牌无遮挡、无污损，白天环境光照度不低于200lx，晚上辅助光照度不高于30lx的条件下测试，白天和晚上闯红灯的捕获率均≥99%；</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13.摄像机内置交通行为识别功能，具备机动车不按车道行驶、不按交通信号灯规定通行、不按导向箭头指示通行交通安全违法行为的识别和记录功能。</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14可根据监控场景自动调节曝光模式，包括顺光、背光、低照度、运动速度、雾（雨）天、正常等模式.样机可根据人脸或人体区域的光照变化自动调节画面亮度；</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15.网络直连情况下，在只输出主码流，视频图像传输至客户端的延时时间小于等于70ms，可显示监视画面中鼠标所选区域水平及垂直方向的像素数；</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16.支持违法变道抓拍，捕获率白天、晚上≥98%；准确率白天、晚上≥98%，支持驾驶员打电话识别功能，识别准确率≥98%；</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17.支持14种车身颜色识别，包括黑、白、灰、红、绿、蓝、黄、粉、紫、棕、青、金、橙、银灰,白天、晚上准确率≥95%；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18.高低温试验应满足﹣45℃～90℃，外壳防护等级应不低于IP66；</w:t>
            </w:r>
          </w:p>
        </w:tc>
        <w:tc>
          <w:tcPr>
            <w:tcW w:w="720" w:type="dxa"/>
          </w:tcPr>
          <w:p w14:paraId="647D780D">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729" w:type="dxa"/>
          </w:tcPr>
          <w:p w14:paraId="0F6427ED">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r>
      <w:tr w14:paraId="1C60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2AC8711D">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630" w:type="dxa"/>
            <w:vAlign w:val="center"/>
          </w:tcPr>
          <w:p w14:paraId="7BA10ECF">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补光灯（一体）</w:t>
            </w:r>
          </w:p>
        </w:tc>
        <w:tc>
          <w:tcPr>
            <w:tcW w:w="6130" w:type="dxa"/>
            <w:shd w:val="clear" w:color="auto" w:fill="auto"/>
            <w:vAlign w:val="center"/>
          </w:tcPr>
          <w:p w14:paraId="582A3A9D">
            <w:pPr>
              <w:widowControl/>
              <w:jc w:val="left"/>
              <w:textAlignment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1.包含：24颗大功率LED灯珠，支持LED频闪，白光气体爆闪，红外气体爆闪，可覆盖1个车道，支持超速连拍；</w:t>
            </w:r>
          </w:p>
          <w:p w14:paraId="51DB2156">
            <w:pPr>
              <w:widowControl/>
              <w:jc w:val="left"/>
              <w:textAlignment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2.具有LED和气体灯管两种光源，支持可见光补光，红外补光；</w:t>
            </w:r>
          </w:p>
          <w:p w14:paraId="6216D758">
            <w:pPr>
              <w:widowControl/>
              <w:jc w:val="left"/>
              <w:textAlignment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3.可通过RS485进行远程升级，支持通过485接口对补光灯亮度进行调节，可设置为1－255级；</w:t>
            </w:r>
          </w:p>
          <w:p w14:paraId="484AC861">
            <w:pPr>
              <w:widowControl/>
              <w:jc w:val="left"/>
              <w:textAlignment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4.最大功耗小于等于48W，闪光指数GN≥64m，最小回电时间小于等于50ms；</w:t>
            </w:r>
          </w:p>
          <w:p w14:paraId="1AF46646">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5.1路RS485接口、1路爆闪输入接口，一路光源切换接口，防护等级IP66。</w:t>
            </w:r>
          </w:p>
        </w:tc>
        <w:tc>
          <w:tcPr>
            <w:tcW w:w="720" w:type="dxa"/>
          </w:tcPr>
          <w:p w14:paraId="3E326E2B">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729" w:type="dxa"/>
          </w:tcPr>
          <w:p w14:paraId="74F7190F">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r>
      <w:tr w14:paraId="7222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4045BF6E">
            <w:pPr>
              <w:pStyle w:val="30"/>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c>
          <w:tcPr>
            <w:tcW w:w="1630" w:type="dxa"/>
            <w:vAlign w:val="center"/>
          </w:tcPr>
          <w:p w14:paraId="6BD768EC">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石英称重传感器</w:t>
            </w:r>
          </w:p>
        </w:tc>
        <w:tc>
          <w:tcPr>
            <w:tcW w:w="6130" w:type="dxa"/>
            <w:vAlign w:val="center"/>
          </w:tcPr>
          <w:p w14:paraId="4A0C1400">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1.速度范围：0.5～100km/h；</w:t>
            </w:r>
          </w:p>
          <w:p w14:paraId="2FC431D3">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2.准确度等级：5 级；</w:t>
            </w:r>
          </w:p>
          <w:p w14:paraId="48A2A19C">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3.总重误差范围：≤±5%；</w:t>
            </w:r>
          </w:p>
          <w:p w14:paraId="13F77318">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4.轴重误差范围：≤±10%；</w:t>
            </w:r>
          </w:p>
          <w:p w14:paraId="7DFA09DF">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5.速度误差：≤1km/h；</w:t>
            </w:r>
          </w:p>
          <w:p w14:paraId="575848C8">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6.单轴额定载荷：≥30T；</w:t>
            </w:r>
          </w:p>
          <w:p w14:paraId="12F3576A">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7.最大过载能力：150%；</w:t>
            </w:r>
          </w:p>
          <w:p w14:paraId="25E25C52">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8.灵敏度：-1.54±7% PC/N；</w:t>
            </w:r>
          </w:p>
          <w:p w14:paraId="72A42F8F">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9.横向误差：＜±3％；</w:t>
            </w:r>
          </w:p>
          <w:p w14:paraId="4F325E1B">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10.传感器截面尺寸：55mm×55mm（±8mm）；</w:t>
            </w:r>
          </w:p>
          <w:p w14:paraId="324B3043">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11.传感器长度：0.75m、1m、1.5m、1.75m、2m；</w:t>
            </w:r>
          </w:p>
          <w:p w14:paraId="7D26F3C9">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12.工作温度范围：-45℃～80℃；</w:t>
            </w:r>
          </w:p>
          <w:p w14:paraId="72EE8C29">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13.在温度-20℃，气压 61.5kPa(13.5KFT)状态下，可正常工作；</w:t>
            </w:r>
          </w:p>
          <w:p w14:paraId="4F505A0E">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14.绝缘电阻：＞10×1010Ω；</w:t>
            </w:r>
          </w:p>
          <w:p w14:paraId="33B3D559">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15.使用寿命：≥1 亿轴次；</w:t>
            </w:r>
          </w:p>
          <w:p w14:paraId="20898D58">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16.防护等级：IP68；</w:t>
            </w:r>
          </w:p>
          <w:p w14:paraId="72EBF7EF">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17.线性度:≤±1%，重复性:≤±1%，横向一致性:&lt;1%；</w:t>
            </w:r>
          </w:p>
          <w:p w14:paraId="79A1F30A">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18.温度系数:-0.02%/℃</w:t>
            </w:r>
          </w:p>
          <w:p w14:paraId="111FDEE3">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19.综合精度: ≤±2.5%</w:t>
            </w:r>
          </w:p>
          <w:p w14:paraId="018F2035">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20.传感器直线度误差:&lt;2mm/m</w:t>
            </w:r>
          </w:p>
          <w:p w14:paraId="3BF70AD8">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21.</w:t>
            </w:r>
            <w:r>
              <w:rPr>
                <w:rStyle w:val="79"/>
                <w:rFonts w:hint="default"/>
                <w:b/>
                <w:bCs/>
                <w:color w:val="000000" w:themeColor="text1"/>
                <w:sz w:val="21"/>
                <w:szCs w:val="21"/>
                <w:highlight w:val="none"/>
                <w14:textFill>
                  <w14:solidFill>
                    <w14:schemeClr w14:val="tx1"/>
                  </w14:solidFill>
                </w14:textFill>
              </w:rPr>
              <w:t>▲振动性能满足GB/T2423.10-2019标准（提供具有CMA</w:t>
            </w:r>
            <w:r>
              <w:rPr>
                <w:rStyle w:val="79"/>
                <w:rFonts w:hint="eastAsia"/>
                <w:b/>
                <w:bCs/>
                <w:color w:val="000000" w:themeColor="text1"/>
                <w:sz w:val="21"/>
                <w:szCs w:val="21"/>
                <w:highlight w:val="none"/>
                <w:lang w:val="en-US" w:eastAsia="zh-CN"/>
                <w14:textFill>
                  <w14:solidFill>
                    <w14:schemeClr w14:val="tx1"/>
                  </w14:solidFill>
                </w14:textFill>
              </w:rPr>
              <w:t>资质检测机构出具的</w:t>
            </w:r>
            <w:r>
              <w:rPr>
                <w:rStyle w:val="79"/>
                <w:rFonts w:hint="default"/>
                <w:b/>
                <w:bCs/>
                <w:color w:val="000000" w:themeColor="text1"/>
                <w:sz w:val="21"/>
                <w:szCs w:val="21"/>
                <w:highlight w:val="none"/>
                <w14:textFill>
                  <w14:solidFill>
                    <w14:schemeClr w14:val="tx1"/>
                  </w14:solidFill>
                </w14:textFill>
              </w:rPr>
              <w:t>检测报告复印件加盖投标人公章)</w:t>
            </w:r>
            <w:r>
              <w:rPr>
                <w:rStyle w:val="79"/>
                <w:rFonts w:hint="default"/>
                <w:color w:val="000000" w:themeColor="text1"/>
                <w:sz w:val="21"/>
                <w:szCs w:val="21"/>
                <w:highlight w:val="none"/>
                <w14:textFill>
                  <w14:solidFill>
                    <w14:schemeClr w14:val="tx1"/>
                  </w14:solidFill>
                </w14:textFill>
              </w:rPr>
              <w:t>；</w:t>
            </w:r>
          </w:p>
          <w:p w14:paraId="49C4B940">
            <w:pPr>
              <w:widowControl/>
              <w:jc w:val="left"/>
              <w:textAlignment w:val="center"/>
              <w:rPr>
                <w:rFonts w:ascii="宋体" w:hAnsi="宋体" w:cs="宋体"/>
                <w:color w:val="000000" w:themeColor="text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22.▲</w:t>
            </w:r>
            <w:r>
              <w:rPr>
                <w:rStyle w:val="79"/>
                <w:rFonts w:hint="default"/>
                <w:b/>
                <w:bCs/>
                <w:color w:val="000000" w:themeColor="text1"/>
                <w:sz w:val="21"/>
                <w:szCs w:val="21"/>
                <w:highlight w:val="none"/>
                <w14:textFill>
                  <w14:solidFill>
                    <w14:schemeClr w14:val="tx1"/>
                  </w14:solidFill>
                </w14:textFill>
              </w:rPr>
              <w:t>冲击性能满足GB/T2423.5-2019标准（提供具有CMA</w:t>
            </w:r>
            <w:r>
              <w:rPr>
                <w:rStyle w:val="79"/>
                <w:rFonts w:hint="eastAsia"/>
                <w:b/>
                <w:bCs/>
                <w:color w:val="000000" w:themeColor="text1"/>
                <w:sz w:val="21"/>
                <w:szCs w:val="21"/>
                <w:highlight w:val="none"/>
                <w:lang w:val="en-US" w:eastAsia="zh-CN"/>
                <w14:textFill>
                  <w14:solidFill>
                    <w14:schemeClr w14:val="tx1"/>
                  </w14:solidFill>
                </w14:textFill>
              </w:rPr>
              <w:t>资质检测机构出具的</w:t>
            </w:r>
            <w:r>
              <w:rPr>
                <w:rStyle w:val="79"/>
                <w:rFonts w:hint="default"/>
                <w:b/>
                <w:bCs/>
                <w:color w:val="000000" w:themeColor="text1"/>
                <w:sz w:val="21"/>
                <w:szCs w:val="21"/>
                <w:highlight w:val="none"/>
                <w14:textFill>
                  <w14:solidFill>
                    <w14:schemeClr w14:val="tx1"/>
                  </w14:solidFill>
                </w14:textFill>
              </w:rPr>
              <w:t>检测报告复印件加盖投标人公章)</w:t>
            </w:r>
            <w:r>
              <w:rPr>
                <w:rStyle w:val="79"/>
                <w:rFonts w:hint="default"/>
                <w:color w:val="000000" w:themeColor="text1"/>
                <w:sz w:val="21"/>
                <w:szCs w:val="21"/>
                <w:highlight w:val="none"/>
                <w14:textFill>
                  <w14:solidFill>
                    <w14:schemeClr w14:val="tx1"/>
                  </w14:solidFill>
                </w14:textFill>
              </w:rPr>
              <w:t>；</w:t>
            </w:r>
          </w:p>
        </w:tc>
        <w:tc>
          <w:tcPr>
            <w:tcW w:w="720" w:type="dxa"/>
            <w:vAlign w:val="center"/>
          </w:tcPr>
          <w:p w14:paraId="55B13BF1">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米</w:t>
            </w:r>
          </w:p>
        </w:tc>
        <w:tc>
          <w:tcPr>
            <w:tcW w:w="729" w:type="dxa"/>
            <w:vAlign w:val="center"/>
          </w:tcPr>
          <w:p w14:paraId="6916D947">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w:t>
            </w:r>
          </w:p>
        </w:tc>
      </w:tr>
      <w:tr w14:paraId="7497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2E93959A">
            <w:pPr>
              <w:pStyle w:val="30"/>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1630" w:type="dxa"/>
            <w:vAlign w:val="center"/>
          </w:tcPr>
          <w:p w14:paraId="40726435">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轮轴识别传感器</w:t>
            </w:r>
          </w:p>
        </w:tc>
        <w:tc>
          <w:tcPr>
            <w:tcW w:w="6130" w:type="dxa"/>
            <w:vAlign w:val="center"/>
          </w:tcPr>
          <w:p w14:paraId="7285CD10">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1.形式：压电式；</w:t>
            </w:r>
          </w:p>
          <w:p w14:paraId="30E98217">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2.最小检测轴重：100KG；</w:t>
            </w:r>
          </w:p>
          <w:p w14:paraId="1CE20212">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3.防护等级：IP68；</w:t>
            </w:r>
          </w:p>
          <w:p w14:paraId="70ED26DD">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4.传感器点位：12～14个；</w:t>
            </w:r>
          </w:p>
          <w:p w14:paraId="1EEE6BCC">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5.工作温度范围：-40℃～+85℃；</w:t>
            </w:r>
          </w:p>
          <w:p w14:paraId="057A046D">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6.工作湿度范围：0～95%；</w:t>
            </w:r>
          </w:p>
          <w:p w14:paraId="263D64DB">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7.传感器尺寸：1500/2000×55×35mm；</w:t>
            </w:r>
          </w:p>
          <w:p w14:paraId="5801F98A">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8.控制器供电电压：DC5V；</w:t>
            </w:r>
          </w:p>
          <w:p w14:paraId="0B6BD79C">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9.控制器供电电流：&lt;0.1A；</w:t>
            </w:r>
          </w:p>
          <w:p w14:paraId="6148A2EF">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10判别准确率：≥99%；</w:t>
            </w:r>
          </w:p>
          <w:p w14:paraId="5B194741">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11.IO输出形式：OC输出；</w:t>
            </w:r>
          </w:p>
          <w:p w14:paraId="3B0C6548">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12.数据输出接口：RS232/RS485；</w:t>
            </w:r>
          </w:p>
          <w:p w14:paraId="0B0FEC05">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13.数据输出波特率：9600bps；</w:t>
            </w:r>
          </w:p>
          <w:p w14:paraId="0773202F">
            <w:pPr>
              <w:widowControl/>
              <w:jc w:val="left"/>
              <w:textAlignment w:val="center"/>
              <w:rPr>
                <w:rStyle w:val="79"/>
                <w:rFonts w:hint="default"/>
                <w:color w:val="000000" w:themeColor="text1"/>
                <w:sz w:val="2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14.▲</w:t>
            </w:r>
            <w:r>
              <w:rPr>
                <w:rStyle w:val="79"/>
                <w:rFonts w:hint="default"/>
                <w:b/>
                <w:bCs/>
                <w:color w:val="000000" w:themeColor="text1"/>
                <w:sz w:val="21"/>
                <w:szCs w:val="21"/>
                <w:highlight w:val="none"/>
                <w14:textFill>
                  <w14:solidFill>
                    <w14:schemeClr w14:val="tx1"/>
                  </w14:solidFill>
                </w14:textFill>
              </w:rPr>
              <w:t>振动性能满足GB/T2423.10-2019标准（提供具有CMA</w:t>
            </w:r>
            <w:r>
              <w:rPr>
                <w:rStyle w:val="79"/>
                <w:rFonts w:hint="eastAsia"/>
                <w:b/>
                <w:bCs/>
                <w:color w:val="000000" w:themeColor="text1"/>
                <w:sz w:val="21"/>
                <w:szCs w:val="21"/>
                <w:highlight w:val="none"/>
                <w:lang w:val="en-US" w:eastAsia="zh-CN"/>
                <w14:textFill>
                  <w14:solidFill>
                    <w14:schemeClr w14:val="tx1"/>
                  </w14:solidFill>
                </w14:textFill>
              </w:rPr>
              <w:t>资质检测机构出具的</w:t>
            </w:r>
            <w:r>
              <w:rPr>
                <w:rStyle w:val="79"/>
                <w:rFonts w:hint="default"/>
                <w:b/>
                <w:bCs/>
                <w:color w:val="000000" w:themeColor="text1"/>
                <w:sz w:val="21"/>
                <w:szCs w:val="21"/>
                <w:highlight w:val="none"/>
                <w14:textFill>
                  <w14:solidFill>
                    <w14:schemeClr w14:val="tx1"/>
                  </w14:solidFill>
                </w14:textFill>
              </w:rPr>
              <w:t>检测报告复印件加盖投标人公章</w:t>
            </w:r>
            <w:r>
              <w:rPr>
                <w:rStyle w:val="79"/>
                <w:rFonts w:hint="default"/>
                <w:color w:val="000000" w:themeColor="text1"/>
                <w:sz w:val="21"/>
                <w:szCs w:val="21"/>
                <w:highlight w:val="none"/>
                <w14:textFill>
                  <w14:solidFill>
                    <w14:schemeClr w14:val="tx1"/>
                  </w14:solidFill>
                </w14:textFill>
              </w:rPr>
              <w:t>)；</w:t>
            </w:r>
          </w:p>
          <w:p w14:paraId="15C90DC9">
            <w:pPr>
              <w:widowControl/>
              <w:jc w:val="left"/>
              <w:textAlignment w:val="center"/>
              <w:rPr>
                <w:rFonts w:ascii="宋体" w:hAnsi="宋体" w:cs="宋体"/>
                <w:color w:val="000000" w:themeColor="text1"/>
                <w:szCs w:val="21"/>
                <w:highlight w:val="none"/>
                <w14:textFill>
                  <w14:solidFill>
                    <w14:schemeClr w14:val="tx1"/>
                  </w14:solidFill>
                </w14:textFill>
              </w:rPr>
            </w:pPr>
            <w:r>
              <w:rPr>
                <w:rStyle w:val="79"/>
                <w:rFonts w:hint="default"/>
                <w:color w:val="000000" w:themeColor="text1"/>
                <w:sz w:val="21"/>
                <w:szCs w:val="21"/>
                <w:highlight w:val="none"/>
                <w14:textFill>
                  <w14:solidFill>
                    <w14:schemeClr w14:val="tx1"/>
                  </w14:solidFill>
                </w14:textFill>
              </w:rPr>
              <w:t>15.▲</w:t>
            </w:r>
            <w:r>
              <w:rPr>
                <w:rStyle w:val="79"/>
                <w:rFonts w:hint="default"/>
                <w:b/>
                <w:bCs/>
                <w:color w:val="000000" w:themeColor="text1"/>
                <w:sz w:val="21"/>
                <w:szCs w:val="21"/>
                <w:highlight w:val="none"/>
                <w14:textFill>
                  <w14:solidFill>
                    <w14:schemeClr w14:val="tx1"/>
                  </w14:solidFill>
                </w14:textFill>
              </w:rPr>
              <w:t>冲击性能满足GB/T2423.5-2019标准（提供具有CMA</w:t>
            </w:r>
            <w:r>
              <w:rPr>
                <w:rStyle w:val="79"/>
                <w:rFonts w:hint="eastAsia"/>
                <w:b/>
                <w:bCs/>
                <w:color w:val="000000" w:themeColor="text1"/>
                <w:sz w:val="21"/>
                <w:szCs w:val="21"/>
                <w:highlight w:val="none"/>
                <w:lang w:val="en-US" w:eastAsia="zh-CN"/>
                <w14:textFill>
                  <w14:solidFill>
                    <w14:schemeClr w14:val="tx1"/>
                  </w14:solidFill>
                </w14:textFill>
              </w:rPr>
              <w:t>资质检测机构出具的</w:t>
            </w:r>
            <w:r>
              <w:rPr>
                <w:rStyle w:val="79"/>
                <w:rFonts w:hint="default"/>
                <w:b/>
                <w:bCs/>
                <w:color w:val="000000" w:themeColor="text1"/>
                <w:sz w:val="21"/>
                <w:szCs w:val="21"/>
                <w:highlight w:val="none"/>
                <w14:textFill>
                  <w14:solidFill>
                    <w14:schemeClr w14:val="tx1"/>
                  </w14:solidFill>
                </w14:textFill>
              </w:rPr>
              <w:t>检测报告复印件加盖投标人公章)</w:t>
            </w:r>
            <w:r>
              <w:rPr>
                <w:rStyle w:val="79"/>
                <w:rFonts w:hint="default"/>
                <w:color w:val="000000" w:themeColor="text1"/>
                <w:sz w:val="21"/>
                <w:szCs w:val="21"/>
                <w:highlight w:val="none"/>
                <w14:textFill>
                  <w14:solidFill>
                    <w14:schemeClr w14:val="tx1"/>
                  </w14:solidFill>
                </w14:textFill>
              </w:rPr>
              <w:t>；</w:t>
            </w:r>
          </w:p>
        </w:tc>
        <w:tc>
          <w:tcPr>
            <w:tcW w:w="720" w:type="dxa"/>
            <w:vAlign w:val="center"/>
          </w:tcPr>
          <w:p w14:paraId="269372DC">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米</w:t>
            </w:r>
          </w:p>
        </w:tc>
        <w:tc>
          <w:tcPr>
            <w:tcW w:w="729" w:type="dxa"/>
            <w:vAlign w:val="center"/>
          </w:tcPr>
          <w:p w14:paraId="48913321">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w:t>
            </w:r>
          </w:p>
        </w:tc>
      </w:tr>
      <w:tr w14:paraId="52FC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42159F88">
            <w:pPr>
              <w:pStyle w:val="30"/>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c>
          <w:tcPr>
            <w:tcW w:w="1630" w:type="dxa"/>
            <w:vAlign w:val="center"/>
          </w:tcPr>
          <w:p w14:paraId="3A23179B">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称重控制器</w:t>
            </w:r>
          </w:p>
        </w:tc>
        <w:tc>
          <w:tcPr>
            <w:tcW w:w="6130" w:type="dxa"/>
            <w:vAlign w:val="center"/>
          </w:tcPr>
          <w:p w14:paraId="18C9AEA6">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1.速度范围：0.5～100km/h；</w:t>
            </w:r>
          </w:p>
          <w:p w14:paraId="5CB0BA35">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2.数据存储空间：1M Byte；</w:t>
            </w:r>
          </w:p>
          <w:p w14:paraId="2660BF6F">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3.数据存储：可存储多达 400000 条的车辆信息数据；</w:t>
            </w:r>
          </w:p>
          <w:p w14:paraId="66B4CD53">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4.工作温度范围：-20℃～70℃；</w:t>
            </w:r>
          </w:p>
          <w:p w14:paraId="5E55C182">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5.在温度-20℃，气压 61.5kPa(13.5KFT)状态下，可正常工作；</w:t>
            </w:r>
          </w:p>
          <w:p w14:paraId="5523CB43">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6.相对湿度：0～95%RH；</w:t>
            </w:r>
          </w:p>
          <w:p w14:paraId="44E358A9">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.工作电压：AC 220V；</w:t>
            </w:r>
          </w:p>
          <w:p w14:paraId="6D8B7A6E">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8.数据接口：RJ45 </w:t>
            </w:r>
          </w:p>
          <w:p w14:paraId="7058413A">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9.网络接口通信速率：9600bps； </w:t>
            </w:r>
          </w:p>
          <w:p w14:paraId="2E845A15">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10.MTBF≥30000h；</w:t>
            </w:r>
          </w:p>
          <w:p w14:paraId="357F4B0F">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11.检测精度：动态 5 级；</w:t>
            </w:r>
          </w:p>
          <w:p w14:paraId="257A460E">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12.输入通道数：64 路；</w:t>
            </w:r>
          </w:p>
          <w:p w14:paraId="0B4C6D75">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13.采用 7″TFT 彩色液晶触摸屏；</w:t>
            </w:r>
          </w:p>
          <w:p w14:paraId="5386116D">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14具有内置显示装置与按键操作功能；</w:t>
            </w:r>
          </w:p>
          <w:p w14:paraId="371EE2DC">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15.铝合金外壳，采用机架式结构，自由扩展；采集模块采用高速 AD+8 通道 DSP+RAM 架构；</w:t>
            </w:r>
          </w:p>
          <w:p w14:paraId="5C132B22">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16.具有故障自检功能以及对石英称重传感器的故障诊断功能；</w:t>
            </w:r>
          </w:p>
          <w:p w14:paraId="0A856E69">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17.动态修正功能，可根据车道、车速、车型、行驶轨迹等进行系数自适应补偿；</w:t>
            </w:r>
          </w:p>
          <w:p w14:paraId="41774F2C">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18.实时数据会显示当前上传的车辆数据，包括总重、轮重、轮轴、轴数、轴距、速度、行驶车道号、采集时间、方向、编号等信息；</w:t>
            </w:r>
          </w:p>
          <w:p w14:paraId="03FCE445">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19.可对标定数据进行复位、修改操作；</w:t>
            </w:r>
          </w:p>
          <w:p w14:paraId="1EE4F18F">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20可查看系统版本、设备状态、传感器内码值。</w:t>
            </w:r>
          </w:p>
          <w:p w14:paraId="01A3E5DE">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21.可设置检测方向、抓拍方式、通讯方式、传感器间距；</w:t>
            </w:r>
          </w:p>
          <w:p w14:paraId="1D26E74C">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22.可对上传通讯协议进行修改，对网络参数进行修改； 可通过触摸屏进行操作，可删除存储数据和续传数据；</w:t>
            </w:r>
          </w:p>
          <w:p w14:paraId="48D48D74">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23.扩展接口：接入车辆位置传感器（轨迹传感器）、车辆外轮廓检测仪、线圈控制器接口、抓拍相机控制接口；</w:t>
            </w:r>
          </w:p>
        </w:tc>
        <w:tc>
          <w:tcPr>
            <w:tcW w:w="720" w:type="dxa"/>
            <w:vAlign w:val="center"/>
          </w:tcPr>
          <w:p w14:paraId="108C989C">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729" w:type="dxa"/>
            <w:vAlign w:val="center"/>
          </w:tcPr>
          <w:p w14:paraId="60665BC4">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r>
      <w:tr w14:paraId="7C6A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0BA3CB15">
            <w:pPr>
              <w:pStyle w:val="30"/>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1630" w:type="dxa"/>
            <w:vAlign w:val="center"/>
          </w:tcPr>
          <w:p w14:paraId="4886F4DB">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电荷放大器</w:t>
            </w:r>
          </w:p>
        </w:tc>
        <w:tc>
          <w:tcPr>
            <w:tcW w:w="6130" w:type="dxa"/>
            <w:vAlign w:val="center"/>
          </w:tcPr>
          <w:p w14:paraId="6CFF282A">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1.通道：8 路；</w:t>
            </w:r>
          </w:p>
          <w:p w14:paraId="41ECE3BE">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2.测量范围：±60000PC；</w:t>
            </w:r>
          </w:p>
          <w:p w14:paraId="238A3139">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3.误差范围：≤±0.1%；</w:t>
            </w:r>
          </w:p>
          <w:p w14:paraId="532798D7">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4.输出电压：0～±5V；输出电流：0～±2mA；输出阻抗：100Ω；</w:t>
            </w:r>
          </w:p>
          <w:p w14:paraId="004EA86C">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.频率范围（3db）：≈0.01～&gt;10kHZ；</w:t>
            </w:r>
          </w:p>
          <w:p w14:paraId="4A1D50D7">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.时间常数：≈100s；</w:t>
            </w:r>
          </w:p>
          <w:p w14:paraId="1720C142">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.供电电压：DC15～30V；供电电流：&lt;25mA；</w:t>
            </w:r>
          </w:p>
          <w:p w14:paraId="12042592">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.工作温度范围：-20℃～70℃；在温度-20℃，气压 61.5kPa(13.5KFT)状态下，可正常工作；</w:t>
            </w:r>
          </w:p>
          <w:p w14:paraId="25F79FA2">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.震动阻力：10gp；</w:t>
            </w:r>
          </w:p>
          <w:p w14:paraId="1182B28C">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.防护等级：IP65；</w:t>
            </w:r>
          </w:p>
        </w:tc>
        <w:tc>
          <w:tcPr>
            <w:tcW w:w="720" w:type="dxa"/>
            <w:vAlign w:val="center"/>
          </w:tcPr>
          <w:p w14:paraId="4725F711">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729" w:type="dxa"/>
            <w:vAlign w:val="center"/>
          </w:tcPr>
          <w:p w14:paraId="184E3582">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r>
      <w:tr w14:paraId="365F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26076AEE">
            <w:pPr>
              <w:pStyle w:val="30"/>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p>
        </w:tc>
        <w:tc>
          <w:tcPr>
            <w:tcW w:w="1630" w:type="dxa"/>
            <w:vAlign w:val="center"/>
          </w:tcPr>
          <w:p w14:paraId="719200F3">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线圈(含车检器）</w:t>
            </w:r>
          </w:p>
        </w:tc>
        <w:tc>
          <w:tcPr>
            <w:tcW w:w="6130" w:type="dxa"/>
            <w:vAlign w:val="center"/>
          </w:tcPr>
          <w:p w14:paraId="6753D90C">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1.尺寸：适用于普通车道和紧急车道；导线规格：多芯镀银导线；线圈安装方式：埋入路面下，环氧树脂灌封</w:t>
            </w:r>
          </w:p>
        </w:tc>
        <w:tc>
          <w:tcPr>
            <w:tcW w:w="720" w:type="dxa"/>
            <w:vAlign w:val="center"/>
          </w:tcPr>
          <w:p w14:paraId="6BCCD64B">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729" w:type="dxa"/>
          </w:tcPr>
          <w:p w14:paraId="08BA36E9">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r>
      <w:tr w14:paraId="0172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0727A880">
            <w:pPr>
              <w:pStyle w:val="30"/>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p>
        </w:tc>
        <w:tc>
          <w:tcPr>
            <w:tcW w:w="1630" w:type="dxa"/>
            <w:vAlign w:val="center"/>
          </w:tcPr>
          <w:p w14:paraId="210EE70A">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称重处理单元</w:t>
            </w:r>
          </w:p>
        </w:tc>
        <w:tc>
          <w:tcPr>
            <w:tcW w:w="6130" w:type="dxa"/>
            <w:vAlign w:val="center"/>
          </w:tcPr>
          <w:p w14:paraId="0123149B">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1.CPU4核心，2.5GHZ频率；</w:t>
            </w:r>
          </w:p>
          <w:p w14:paraId="5E887223">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2.8G运行内存，1TB硬盘；</w:t>
            </w:r>
          </w:p>
          <w:p w14:paraId="0033B0F2">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3.一条DDR3LSO-DIMM插槽,最大支持8GB内存；</w:t>
            </w:r>
          </w:p>
          <w:p w14:paraId="2A57B01B">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4.1个SATA2接口可支持2.5寸SSD或HDD，1个MSATA接口；</w:t>
            </w:r>
          </w:p>
          <w:p w14:paraId="6CD0069B">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5.支持1个VGA，1个HDMI显示，最高支持三通道独立显示；</w:t>
            </w:r>
          </w:p>
          <w:p w14:paraId="74FEDB1A">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6.支持：10个COM口；</w:t>
            </w:r>
          </w:p>
          <w:p w14:paraId="204A0CF7">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7.提供：2个10/100/1000M自适应独立以太网口，支持无盘引导及远程唤醒；</w:t>
            </w:r>
          </w:p>
          <w:p w14:paraId="4486F900">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8.提供：9个USB2.0、1个USB3.0；</w:t>
            </w:r>
          </w:p>
          <w:p w14:paraId="654706FE">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9.扩展接口:2个MiniPCIE；</w:t>
            </w:r>
          </w:p>
          <w:p w14:paraId="53BE8EDA">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10.支持Windows</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LINUX</w:t>
            </w:r>
            <w:r>
              <w:rPr>
                <w:rFonts w:hint="eastAsia" w:ascii="宋体" w:hAnsi="宋体" w:cs="宋体"/>
                <w:color w:val="000000" w:themeColor="text1"/>
                <w:szCs w:val="21"/>
                <w:highlight w:val="none"/>
                <w14:textFill>
                  <w14:solidFill>
                    <w14:schemeClr w14:val="tx1"/>
                  </w14:solidFill>
                </w14:textFill>
              </w:rPr>
              <w:t>等操作系统；</w:t>
            </w:r>
          </w:p>
        </w:tc>
        <w:tc>
          <w:tcPr>
            <w:tcW w:w="720" w:type="dxa"/>
            <w:vAlign w:val="center"/>
          </w:tcPr>
          <w:p w14:paraId="25FB429E">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729" w:type="dxa"/>
          </w:tcPr>
          <w:p w14:paraId="3B2806B6">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r>
      <w:tr w14:paraId="6F5A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263E32B0">
            <w:pPr>
              <w:pStyle w:val="30"/>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p>
        </w:tc>
        <w:tc>
          <w:tcPr>
            <w:tcW w:w="1630" w:type="dxa"/>
            <w:shd w:val="clear" w:color="auto" w:fill="auto"/>
            <w:vAlign w:val="center"/>
          </w:tcPr>
          <w:p w14:paraId="0F1B438F">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室外机柜（含配电空调）</w:t>
            </w:r>
          </w:p>
        </w:tc>
        <w:tc>
          <w:tcPr>
            <w:tcW w:w="6130" w:type="dxa"/>
            <w:shd w:val="clear" w:color="auto" w:fill="auto"/>
            <w:vAlign w:val="center"/>
          </w:tcPr>
          <w:p w14:paraId="42DA4076">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1.外形尺寸：≥1550mm×700mm×780mm；供电电源：AC220±5%</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具有防雷、防浪涌冲击装置；内置恒温温控系统，配备轴流风机，防止机柜内温度过高造成系统“死机”；采用防盗门锁，门缝包边防护，带防水顶盖，具有防雨能力；</w:t>
            </w:r>
          </w:p>
        </w:tc>
        <w:tc>
          <w:tcPr>
            <w:tcW w:w="720" w:type="dxa"/>
          </w:tcPr>
          <w:p w14:paraId="4053E019">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729" w:type="dxa"/>
          </w:tcPr>
          <w:p w14:paraId="3B614386">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r>
    </w:tbl>
    <w:p w14:paraId="06D7B042">
      <w:pPr>
        <w:pStyle w:val="30"/>
        <w:spacing w:line="360" w:lineRule="auto"/>
        <w:ind w:firstLine="480"/>
        <w:rPr>
          <w:rFonts w:ascii="宋体" w:hAnsi="宋体" w:cs="宋体"/>
          <w:b/>
          <w:bCs/>
          <w:color w:val="000000" w:themeColor="text1"/>
          <w:sz w:val="24"/>
          <w:szCs w:val="24"/>
          <w:highlight w:val="none"/>
          <w14:textFill>
            <w14:solidFill>
              <w14:schemeClr w14:val="tx1"/>
            </w14:solidFill>
          </w14:textFill>
        </w:rPr>
      </w:pPr>
    </w:p>
    <w:p w14:paraId="46B160E6">
      <w:pPr>
        <w:pStyle w:val="30"/>
        <w:spacing w:line="400" w:lineRule="exact"/>
        <w:ind w:firstLine="48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2.2技术规范</w:t>
      </w:r>
    </w:p>
    <w:p w14:paraId="67C96345">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（1）《关于对严重违法失信超限超载运输车辆相关责任主体实施联合惩戒的合作备忘录》（发改财金〔2017〕274 号）； </w:t>
      </w:r>
    </w:p>
    <w:p w14:paraId="1FDF11A6">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（2）《交通运输部 公安部关于治理超限超载联合执法常态化制度化工作的实施意见（试行）》（交公路发〔2017〕173 号文件）； </w:t>
      </w:r>
    </w:p>
    <w:p w14:paraId="42E340D5">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（3）《交通运输部办公厅 公安部办公厅关于规范治理超限超载专项行动有关执法的通知》（交办公路〔2016〕130 号）； </w:t>
      </w:r>
    </w:p>
    <w:p w14:paraId="1E463DA6">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（4）《交通运输部办公厅 公安部办公厅关于印发整治公路货车违法超限超载行为专项行动方案的通知》（交办公路〔2016〕109 号）； </w:t>
      </w:r>
    </w:p>
    <w:p w14:paraId="10A4BD10">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（5）《超限运输车辆行驶公路管理规定》（交通运输部令 2016 年第 62 号）； </w:t>
      </w:r>
    </w:p>
    <w:p w14:paraId="5CC4E525">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（6）《交通运输部关于修改&lt;超限运输车辆行驶公路管理规定&gt;的决定》（交通运输部令 2021 年第 12 号）。 </w:t>
      </w:r>
    </w:p>
    <w:p w14:paraId="74637B4A">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（7）《省政府办公厅转发省交通运输厅等部门关于进一步做好全省货车非法改装和超限超载治理工作实施方案的通知》（苏政办发﹝2016﹞135 号）； </w:t>
      </w:r>
    </w:p>
    <w:p w14:paraId="5943EF70">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（8）《省交通运输厅、公安厅关于印发江苏省治理超限超载联合执法实施方案的通知》（苏交公〔2018〕10 号）； </w:t>
      </w:r>
    </w:p>
    <w:p w14:paraId="74A79C42">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（9）《省交通运输厅公路局关于印发《江苏省公路超限运输非现场处罚办法（试行）》的通知》（苏交公超管﹝2015﹞314 号）； </w:t>
      </w:r>
    </w:p>
    <w:p w14:paraId="07BB4F9B">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（10）《江苏省治理公路超限超载运输办法》（江苏省人民政府令第 160 号）； </w:t>
      </w:r>
    </w:p>
    <w:p w14:paraId="7F5C7A92">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（11）《关于印发江苏省货车动态监测设施建设技术要求的通知》（苏治超办函〔2023〕5 号）； </w:t>
      </w:r>
    </w:p>
    <w:p w14:paraId="7A04E0CB">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（12）《江苏省公路运输车辆动态称重监测设施改造方案（宿迁试点）》； </w:t>
      </w:r>
    </w:p>
    <w:p w14:paraId="07723728">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（13）《江苏省公路运输车辆动态称重监测设施改造研究报告（全省改造方案）》。 </w:t>
      </w:r>
    </w:p>
    <w:p w14:paraId="4FBBDF75">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（14）地方标准《公路运输车辆动态称重系统技术规范》（DB32/T3314-2017）； </w:t>
      </w:r>
    </w:p>
    <w:p w14:paraId="3E95CDD8">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（15）《道路车辆外轮廓尺寸、载荷及质量限值》（GB 1589-2016）； </w:t>
      </w:r>
    </w:p>
    <w:p w14:paraId="487CDE07">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（16）《公路路基设计规范》（JTG D30-2015）； </w:t>
      </w:r>
    </w:p>
    <w:p w14:paraId="7695A1DA">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（17）《公路水泥混凝土路面设计规范》（JTG D40-2011）； </w:t>
      </w:r>
    </w:p>
    <w:p w14:paraId="61CF1936">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（18）《道路交通标志和标线》（GB 5768.5-2017）； </w:t>
      </w:r>
    </w:p>
    <w:p w14:paraId="7D6E2FDC">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（19）《公路路线设计规范》（JTG D20-2017）； </w:t>
      </w:r>
    </w:p>
    <w:p w14:paraId="46379FB4">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（20）《公路交通安全设施设计细则》（JTG/T D81-2017）； </w:t>
      </w:r>
    </w:p>
    <w:p w14:paraId="5AD85E0B">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（21）《公路养护安全作业规程》（JTG H30-2015）； </w:t>
      </w:r>
    </w:p>
    <w:p w14:paraId="6C4D645D">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（22）《江苏省干线公路可变情报板通信协议》； </w:t>
      </w:r>
    </w:p>
    <w:p w14:paraId="303ADE5C">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（23）《江苏公路超限治理数据接口技术规范》； </w:t>
      </w:r>
    </w:p>
    <w:p w14:paraId="79CFAD67">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（24）《江苏省公路信息化数据库建设规范》； </w:t>
      </w:r>
    </w:p>
    <w:p w14:paraId="05535A9F">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（25）《江苏干线公路视频监控平台建设技术要求》； </w:t>
      </w:r>
    </w:p>
    <w:p w14:paraId="3DA50240">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（26）《道路交通安全违法行为图像取证技术规范》（GA/T 832-2014）； </w:t>
      </w:r>
    </w:p>
    <w:p w14:paraId="62C8BAA9">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（27）《道路交通安全违法行为视频取证设备技术规范》（GA/T 995-2020） </w:t>
      </w:r>
    </w:p>
    <w:p w14:paraId="79A310EF">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（28）《动态公路车辆自动衡器检定规程》（JJG 907-2006）； </w:t>
      </w:r>
    </w:p>
    <w:p w14:paraId="1C687B39">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（29）《公路动态车辆称重设备技术要求及检验方法》（DB11/T 1374-2016）； </w:t>
      </w:r>
    </w:p>
    <w:p w14:paraId="59199495">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（30）《公路车辆动态称重检测系统技术规范》（JTG/T 4320-2022）。 </w:t>
      </w:r>
    </w:p>
    <w:p w14:paraId="2A7568C5">
      <w:pPr>
        <w:pStyle w:val="30"/>
        <w:spacing w:line="400" w:lineRule="exact"/>
        <w:ind w:firstLine="48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施工时，如有新的规范、规程颁布实施，则应按新的规范、规程执行。</w:t>
      </w:r>
    </w:p>
    <w:p w14:paraId="681F7915">
      <w:pPr>
        <w:pStyle w:val="30"/>
        <w:spacing w:line="400" w:lineRule="exact"/>
        <w:ind w:firstLine="482"/>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三、工程量清单</w:t>
      </w:r>
    </w:p>
    <w:p w14:paraId="5B31EA32">
      <w:pPr>
        <w:pStyle w:val="30"/>
        <w:spacing w:line="400" w:lineRule="exact"/>
        <w:ind w:firstLine="48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另附。</w:t>
      </w:r>
    </w:p>
    <w:p w14:paraId="13EABC4F">
      <w:pPr>
        <w:pStyle w:val="30"/>
        <w:spacing w:line="400" w:lineRule="exact"/>
        <w:ind w:firstLine="48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四、改造方案</w:t>
      </w:r>
    </w:p>
    <w:p w14:paraId="215A2804">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改造后需取得以下成效： </w:t>
      </w:r>
    </w:p>
    <w:p w14:paraId="14801A61">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（1）修复称重区水泥路面、水泥路面与沥青路面结合部位，最大程度延长路面使用寿命，保持通过车辆平稳行驶，保证系统称重使用精度。 </w:t>
      </w:r>
    </w:p>
    <w:p w14:paraId="1B4CD6EF">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（2）采用五排全覆盖方式铺设称重传感器，以保证车辆数据的可靠性和稳定性。经第三方计量检测单位检定，称重精度误差优于±2.5%，使用精度误差优于±5%，达到最新规范要求的精度标准。</w:t>
      </w:r>
    </w:p>
    <w:p w14:paraId="6AFEBCFA">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（3）更换部分抓拍摄像机，获取车辆高清图片，叠加车辆通行及称重信息，实现完整数据链的采集。 </w:t>
      </w:r>
    </w:p>
    <w:p w14:paraId="31C31B6F">
      <w:pPr>
        <w:pStyle w:val="30"/>
        <w:spacing w:line="400" w:lineRule="exact"/>
        <w:ind w:firstLine="48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（4）称重区通过车辆由称重检测设备实现自动采集车辆的重量数据，采集检测精度优于 95%。</w:t>
      </w:r>
    </w:p>
    <w:p w14:paraId="6F42D7C9">
      <w:pPr>
        <w:pStyle w:val="30"/>
        <w:spacing w:line="400" w:lineRule="exact"/>
        <w:ind w:firstLine="482"/>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五、现场踏勘</w:t>
      </w:r>
    </w:p>
    <w:p w14:paraId="237614FD">
      <w:pPr>
        <w:pStyle w:val="30"/>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采购单位不集中组织投标踏勘现场，供应商须自行与采购单位联系踏勘现场，自行踏勘现场过程中安全财产责任自行承担。</w:t>
      </w:r>
    </w:p>
    <w:p w14:paraId="3E230892">
      <w:pPr>
        <w:spacing w:line="400" w:lineRule="exact"/>
        <w:ind w:firstLine="482"/>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六、项目实施方案</w:t>
      </w:r>
    </w:p>
    <w:p w14:paraId="0FC2C4F2">
      <w:pPr>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（一）总体施工组织布置及规划：符合本项目施工要求，合理</w:t>
      </w:r>
      <w:r>
        <w:rPr>
          <w:rFonts w:hint="eastAsia" w:ascii="宋体" w:hAnsi="宋体" w:cs="宋体"/>
          <w:color w:val="000000" w:themeColor="text1"/>
          <w:sz w:val="24"/>
          <w:szCs w:val="24"/>
          <w:highlight w:val="none"/>
          <w:lang w:val="en-US" w:eastAsia="zh-CN"/>
          <w14:textFill>
            <w14:solidFill>
              <w14:schemeClr w14:val="tx1"/>
            </w14:solidFill>
          </w14:textFill>
        </w:rPr>
        <w:t>的</w:t>
      </w:r>
      <w:r>
        <w:rPr>
          <w:rFonts w:hint="eastAsia" w:ascii="宋体" w:hAnsi="宋体" w:cs="宋体"/>
          <w:color w:val="000000" w:themeColor="text1"/>
          <w:sz w:val="24"/>
          <w:szCs w:val="24"/>
          <w:highlight w:val="none"/>
          <w14:textFill>
            <w14:solidFill>
              <w14:schemeClr w14:val="tx1"/>
            </w14:solidFill>
          </w14:textFill>
        </w:rPr>
        <w:t>部署总体施工规划、施工组织内容、施工工艺流程、各分部分项工程工序计划安排。</w:t>
      </w:r>
    </w:p>
    <w:p w14:paraId="1AA6613C">
      <w:pPr>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项目重点、难点工程的施工方案及技术措施：应仔细研究所投标段的施工方案和技术要求，了解施工地点的地质、气象等情况，制定周密的施工方案、方法，特别是重点难点工程的施工方案、方法，以保证本合同工程的顺利施工。</w:t>
      </w:r>
    </w:p>
    <w:p w14:paraId="2D240DF7">
      <w:pPr>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（三）工期保证措施：以目前的施工条件所须配套人员及机械设备以保证工程进度。针对本项目编制施工进度计划和各阶段进度的保证措施方案。</w:t>
      </w:r>
    </w:p>
    <w:p w14:paraId="0C92F7DE">
      <w:pPr>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（四）工程质量管理体系及保证措施：对本项目主要工程的现场实际情况提供有针对性的工程质量保证措施阐述，措施合理有效、可实施性应符合要求。</w:t>
      </w:r>
    </w:p>
    <w:p w14:paraId="2D8588FB">
      <w:pPr>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（五）环境保护、安全、文明措施：环境保护、安全、文明施工措施，包括环境保护、现场用电、登高作业的安全措施应完整、详细具体、科学合理、方式方法应符合要求。</w:t>
      </w:r>
    </w:p>
    <w:p w14:paraId="72BB450A">
      <w:pPr>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后续服务：后续服务、服务标准、人员配备及相关保修措施、响应情况、培训方案内容。按照技术规范中的内容做好培训工作，对采购人或运营管理单位的管理人员、技术人员、操作人员进行培训，以便对工程的实施进行有效的管理，同时保证工程验收移交后，相关人员能够胜任系统的全部运行、操作，线路维护，故障分析处理，设备维修和保养等。</w:t>
      </w:r>
    </w:p>
    <w:p w14:paraId="48856D83">
      <w:pPr>
        <w:spacing w:line="400" w:lineRule="exact"/>
        <w:ind w:firstLine="482"/>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七、注意事项</w:t>
      </w:r>
    </w:p>
    <w:p w14:paraId="04EA3664">
      <w:pPr>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沭阳公路超限检测站预检系统改造验收合格之后，沭阳公路超限检测站预检系统交由</w:t>
      </w:r>
      <w:r>
        <w:rPr>
          <w:rFonts w:ascii="宋体" w:hAnsi="宋体" w:cs="宋体"/>
          <w:color w:val="000000" w:themeColor="text1"/>
          <w:sz w:val="24"/>
          <w:szCs w:val="24"/>
          <w:highlight w:val="none"/>
          <w14:textFill>
            <w14:solidFill>
              <w14:schemeClr w14:val="tx1"/>
            </w14:solidFill>
          </w14:textFill>
        </w:rPr>
        <w:t>宿迁市交通运输综合行政执法支队</w:t>
      </w:r>
      <w:r>
        <w:rPr>
          <w:rFonts w:hint="eastAsia" w:ascii="宋体" w:hAnsi="宋体" w:cs="宋体"/>
          <w:color w:val="000000" w:themeColor="text1"/>
          <w:sz w:val="24"/>
          <w:szCs w:val="24"/>
          <w:highlight w:val="none"/>
          <w14:textFill>
            <w14:solidFill>
              <w14:schemeClr w14:val="tx1"/>
            </w14:solidFill>
          </w14:textFill>
        </w:rPr>
        <w:t>进行管理。</w:t>
      </w:r>
    </w:p>
    <w:p w14:paraId="55A51645">
      <w:pPr>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1、为满足江苏省公路货车动态监测设施执法精度要求，并与省平台完成数据接入。所有设备及系统必须根据情况和采购人实际需求合理选择，</w:t>
      </w:r>
      <w:r>
        <w:rPr>
          <w:rFonts w:hint="eastAsia" w:ascii="宋体" w:hAnsi="宋体" w:cs="宋体"/>
          <w:color w:val="000000" w:themeColor="text1"/>
          <w:sz w:val="24"/>
          <w:szCs w:val="24"/>
          <w:highlight w:val="none"/>
          <w14:textFill>
            <w14:solidFill>
              <w14:schemeClr w14:val="tx1"/>
            </w14:solidFill>
          </w14:textFill>
        </w:rPr>
        <w:t>如无法满足采购人需求，则成交单位必须无条件更换。</w:t>
      </w:r>
    </w:p>
    <w:p w14:paraId="7229FED5">
      <w:pPr>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交单位需积极主动地配合采购人进行相关检测及验收，确保通过检测和验收，若出现检测不合格或验收不合格的情况成交单位需要返工直至检测通过并且验收合格，由此导致的返工费等相关其他费用，由成交单位自行承担，并且采购人有权从工程款中扣除。</w:t>
      </w:r>
    </w:p>
    <w:p w14:paraId="053C61A2">
      <w:pPr>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施工过程中，成交单位需采取措施保护现场及周边相关物品、设施等，因成交单位的不规范操作、误操作等原因造成相关设施的损坏、设备的停用等后果均由成交单位承担，由成交单位原样修复并自行承担相关费用。</w:t>
      </w:r>
    </w:p>
    <w:p w14:paraId="61824E97">
      <w:pPr>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供应商成交后根据本单位的最终总报价和首轮明细报价，自行调整各明细单价（原则上除不可竞争费外，其他各分项报价同比例下浮）直至合价和最终总报价相符，报采购人和预算编制单位审核，审核通过后，后期根据审核后的明细报价，按实结算。</w:t>
      </w:r>
    </w:p>
    <w:p w14:paraId="000E54B8">
      <w:pPr>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 项目实施过程中若发生相关的安全事故由供应商自行负责。</w:t>
      </w:r>
    </w:p>
    <w:p w14:paraId="4EDF0514">
      <w:pPr>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 xml:space="preserve">本次招标采用工程量固化清单，供应商编制报价工程量清单时，只需按照设定的格式填入单价（采购人指定单价项目，供应商不得修改），供应商不得对采购人给定的工程量清单进行修改（包括细目名称、细目号、工程数量及指定单价项目的单价、运算定义等），若供应商擅自修改工程量清单或者供应商的报价发生了算术性修正，属重大偏差，响应文件按无效标处理。 </w:t>
      </w:r>
    </w:p>
    <w:p w14:paraId="3C46EEF2">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供应商应按要求编制竞标报价后，然后将其导入至明细报价表一栏或磋商所需其他材料中。 </w:t>
      </w:r>
    </w:p>
    <w:p w14:paraId="201C730D">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6、建筑工程一切险及第三者责任险由承包人以承包人与业主联名投保，投保条件与保险费率由承包人根据江苏省保险行业协会有关公路工程保险的相关规定自行考虑，该费用计入合同总价中，不单独计列。</w:t>
      </w:r>
    </w:p>
    <w:p w14:paraId="1A1873F9">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承包人装备险和承包人职工的（人身）事故险均由承包人自行投保，保险费用由承包人承担并含在合同综合单价中，不单独列支。</w:t>
      </w:r>
    </w:p>
    <w:p w14:paraId="3F77CE69">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承包人应按照“《江苏省工伤保险费率管理办法（修订版）》的通知（苏人社规[2023]2号）和《省人力资源社会保障厅关于确定2025年全省工程建设项目工伤保险费率的通知》（苏人社函〔2025〕1号）”的规定缴纳工伤保险费，在项目开工前足额缴纳。该费用计入合同总价中，不单独计列。</w:t>
      </w:r>
    </w:p>
    <w:p w14:paraId="68353808">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认真贯彻落实《安全生产法》、《中共中央国务院关于推进安全生产领域改革发展的意见》（中发【2016】32号）等各级相关规定办理安全生产责任保险，保险费用由承包人承担并含在合同综合单价或总额价中，不单独列支。</w:t>
      </w:r>
    </w:p>
    <w:p w14:paraId="4A8EE7D8">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承包人要认真贯彻落实《劳动法》、《保障农民工工资支付条例》、《江苏省工程建设领域农民工工资支付管理办法》苏建建管[2016]707 号、《省人力资源和社会保障厅等八部门关于铁路公路水运水利能源机场工程建设项目参加工伤保险工作的通知》苏人社发[2018]93号、《宿迁市交通工程建设领域农民工工资支付管理办法》宿交发[2018]142 号、江苏省人力资源社会保障厅、《关于进一步加强全市建设工程领域项目企业用工管理标准化工作的通知》宿治欠办发【2020】12号、《省交通运输厅关于交通工程建设领域保障农民工工资支付的意见》苏交规[2021]2号、《江苏省公路水运建设市场信用信息管理办法》、《关于印发《宿迁市工程建设领域农民工工资保证金业务操作指南》的通知》（宿治欠办发【2022】11 号）等各级相关农民工工资的规定，并按照规定及发包人要求缴纳农民工工资保证金。</w:t>
      </w:r>
    </w:p>
    <w:p w14:paraId="24F48011">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总承包企业应当在工程项目所在地银行开设农民工工资专用账户，农民工工资与工程款实行分账管理，按月足额支付工资；实行农民工实名制管理；合同实施中，发包人将对此进行督查考核，并将考核结果纳入承包人信用等级评价。</w:t>
      </w:r>
    </w:p>
    <w:p w14:paraId="0851676C">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8、根据《省安委会关于以更高标准更严措施管控交通运输领域重大安全风险的通知》（江苏省安全生产委员会苏安[2019]14号）、《公路水运工程安全生产监督管理办法》（交通运输部令 2017年第25号）、《江苏省公路水运工程安全生产费用管理办法》的通知（苏交规〔2025〕1号）的规定，为保证达到合同规定的安全生产要求，投标人应在投标总价中计入安全生产费用，本项目安全生产费用</w:t>
      </w:r>
      <w:r>
        <w:rPr>
          <w:rFonts w:hint="eastAsia" w:ascii="宋体" w:hAnsi="宋体" w:cs="宋体"/>
          <w:color w:val="000000" w:themeColor="text1"/>
          <w:sz w:val="24"/>
          <w:szCs w:val="24"/>
          <w:highlight w:val="none"/>
          <w14:textFill>
            <w14:solidFill>
              <w14:schemeClr w14:val="tx1"/>
            </w14:solidFill>
          </w14:textFill>
        </w:rPr>
        <w:t>为最高投标限价的1.5%。安全生产费的最终结算金额以实际发生的费用为准，承包人根据实际发生的费用清单总额及票据报</w:t>
      </w:r>
      <w:r>
        <w:rPr>
          <w:rFonts w:hint="eastAsia" w:ascii="宋体" w:hAnsi="宋体" w:cs="宋体"/>
          <w:color w:val="000000" w:themeColor="text1"/>
          <w:sz w:val="24"/>
          <w:szCs w:val="24"/>
          <w:highlight w:val="none"/>
          <w14:textFill>
            <w14:solidFill>
              <w14:schemeClr w14:val="tx1"/>
            </w14:solidFill>
          </w14:textFill>
        </w:rPr>
        <w:t>监理工程师，由业主审批后足额拨付，但最高支付额为清单中安全生产费的报价金额。该费用应当确保专款专用，在财务管理中单独列出费用清单以备查。</w:t>
      </w:r>
    </w:p>
    <w:p w14:paraId="2D3DB9D5">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投标人在编制施工组织建议书时，应仔细研究所投标段的施工方案和技术要求，了解施工地点的地质、气象等情况，制定周密的安全、质量保证措施(包括人员、设备、材料、后勤保障及紧急处理措施等)及施工计划，以保证本合同工程的顺利施工，所需费用均应含入所报的单价或总额价内，招标人不再单独计列。</w:t>
      </w:r>
    </w:p>
    <w:p w14:paraId="3633EACF">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考虑到减少项目施工对地方的干扰和影响，发包人要求承包人应在施工前期完成标段施工范围内的改路、改河、改渠（沟）工程，承包人应严格执行发包人或监理人提出的阶段性工期要求，根据要求合理编制施工方案和工期计划。</w:t>
      </w:r>
    </w:p>
    <w:p w14:paraId="1ED047EA">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10、本项目承包人应在发包人或监理人的指示下，为本项目其他工程提供必要的便利条件。投标人因此发生的一切费用均应含入所报的单价或总额价内，招标人不再单独计列。</w:t>
      </w:r>
    </w:p>
    <w:p w14:paraId="0C27D15D">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本标段施工与其他标段存在交叉作业的情况，项目实施期间，发包人根据实际情况可能会对承包人的工作内容作出相应调整，承包人不得拒绝，因此发生的一切费用均应含入所报的单价或总额价内，不得向发包人提出补偿要求。</w:t>
      </w:r>
    </w:p>
    <w:p w14:paraId="07434A9D">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12、本项目承包人在施工过程中应严格遵守《宿迁市扬尘污染防治条例》（如有更新，执行新文件）、苏交质公（2016）35号《关于印发“全省交通建设工程工地扬尘污染防治行动方案”的通知》、苏交公〔2017〕5号省交通运输厅关于印发“江苏省绿色公路建设的实施意见”的通知、宿交发（2018）100号《市交通运输局关于印发市区交通工程扬尘污染防治管理办法（暂行）的通知》、宿污防指办（2019-62号）《关于修订宿迁市市区施工工地》扬尘重污染天气应急管控停工豁免规则的通知》、宿大气办发（2019）8 号《关于印发宿迁市市区施工工地扬尘重污染天气应急管控停工豁免规则》的通知》、苏环办（2019）254 号《关于切实加强施工工地塑料防尘网使用管理工作的通知》、《市交通运输局关于印发宿迁市交通工程扬尘污染防治管理规定的通知》（宿交发（2021）3号）等相关规定，牢固树立和切实贯彻落实环保意识，从原材料、施工机械设备、施工工艺、临时工程设施等各个方面研究并采取环保措施，承包人按相关规定自行考虑，其费用含在合同综合单价中，不单独列支。 </w:t>
      </w:r>
    </w:p>
    <w:p w14:paraId="07092410">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承包人在施工过程中应在服从全局、保障施工期的基础上，遵循发包人、公安、交通、城管等行政部门提出的相关要求，制定详细可行的交通组织方案及临时安全设施设置方案，并经发包人同意且通过公安、交通、城管等行政部门的行政审批。承包人的投标报价中应充分考虑相关行政部门可能收取的各项费用、规费以及交通导改及其所涉及到的道路导改硬化施工相关费用，上述费用均含在相关的单价或总额价内，发包人不再单独计列。</w:t>
      </w:r>
    </w:p>
    <w:p w14:paraId="461A07F4">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承包人应充分考虑施工过程中相关施工干扰影响致使人工、机械效率降低而增加的费用，包含在相关项目的报价中，发包人将不另行支付。如因承包人采取的措施不力，交通未按规定运行而给其它部门或个人造成的一切损失，或造成工程工期的拖延或施工费用的增加，均由承包人自行负责。</w:t>
      </w:r>
    </w:p>
    <w:p w14:paraId="143034B7">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承包人应充分考虑施工过程中因杆线、管道迁改等对施工可能带来的影响，并积极配合发包人与各杆线、管线产权单位对接、协调。同时须编制临时迁改、管线保护、安全评估等专项施工方案，并按规定报审，所涉及的工期调整、窝工等间接费用由承包人自行承担，招标人不再另行支付。</w:t>
      </w:r>
    </w:p>
    <w:p w14:paraId="2CB488A4">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临时占地指为实施本合同工程而需要的一切临时占用的土地，包括施工所用的临时支线、便道、便桥、借土场地、现场的临时出入通道，以及生产（办公）、生活等临时设施用地。本工程由承包人负责办理临时占地的租用手续，并支付租用以及地面附着物拆迁补偿、复垦等相关费用，发包人协助承包人与相关部门进行协调。承包人应根据施工组织计划确定本工程施工所必需的临时用地数量，用地计划经业主审批后实施，并由承包人承担相应费用。该费用含入工程量清单中各工程细目的单价及总额价中，招标人不另计列。</w:t>
      </w:r>
    </w:p>
    <w:p w14:paraId="74D278EC">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17、本项目施工所需供电、供水由投标人自行调查解决并承担所有费用。</w:t>
      </w:r>
    </w:p>
    <w:p w14:paraId="19698764">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18、若因客观因素或自然灾害等不可抗力造成影响，发包人根据实际情况有权对工期进行调整，承包人不得向发包人提出索赔。</w:t>
      </w:r>
    </w:p>
    <w:p w14:paraId="58ED22B7">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19、本项目实施期间，可能会发生一段时期的频繁雨水或酷热严寒，投标人应充分考虑应对措施，确保按期完工，相关费用包含在投标总价中，发包人不单独支付，承包人也不得就此要求补偿。</w:t>
      </w:r>
    </w:p>
    <w:p w14:paraId="7E3D701E">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项目实施期间，发包人有权根据项目进度情况调整部分目标节点计划，承包人应严格执行发包人提出的总体工期及阶段性工期要求，根据要求编制施工方案和工期计划，配备足量的机械、设备、人员、资金，严格按照工期计划执行，确保完成发包人的任一节点计划目标，由此所产生费用，由承包人自行承担，不得向发包人进行索赔。项目实施过程中，如承包人进度达不到发包人的要求，发包人有权在采取合同履约降等级的同时，将全部或部分工作内容安排给其他单位实施，由此产生的一切费用及带来的任何影响，均由承包人承担。</w:t>
      </w:r>
    </w:p>
    <w:p w14:paraId="3D7BBEC6">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21、本项目要求承包人实施工程档案管理信息化、标准化。竣工验收合格后，在提交纸质竣工资料的同时，将项目档案数据库（含所有资料的扫描件）移交发包人，由此产生的费用在</w:t>
      </w:r>
      <w:r>
        <w:rPr>
          <w:rFonts w:hint="eastAsia" w:ascii="宋体" w:hAnsi="宋体" w:cs="宋体"/>
          <w:color w:val="000000" w:themeColor="text1"/>
          <w:sz w:val="24"/>
          <w:szCs w:val="24"/>
          <w:highlight w:val="none"/>
          <w14:textFill>
            <w14:solidFill>
              <w14:schemeClr w14:val="tx1"/>
            </w14:solidFill>
          </w14:textFill>
        </w:rPr>
        <w:t>工程量清单100章“竣工文件费”中单独列支，由投</w:t>
      </w:r>
      <w:r>
        <w:rPr>
          <w:rFonts w:hint="eastAsia" w:ascii="宋体" w:hAnsi="宋体" w:cs="宋体"/>
          <w:color w:val="000000" w:themeColor="text1"/>
          <w:sz w:val="24"/>
          <w:szCs w:val="24"/>
          <w:highlight w:val="none"/>
          <w14:textFill>
            <w14:solidFill>
              <w14:schemeClr w14:val="tx1"/>
            </w14:solidFill>
          </w14:textFill>
        </w:rPr>
        <w:t>标人自行报价。在本项目交、竣工验收过程中，与本项目有关的交、竣工会议相关费用等由中标人承担，含在投标报价中，不单独计列。</w:t>
      </w:r>
    </w:p>
    <w:p w14:paraId="630CEB87">
      <w:pPr>
        <w:pStyle w:val="39"/>
        <w:widowControl/>
        <w:spacing w:line="5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22、安全评价费用含在合同综合单价中，不单独列支。招标人不另计列。</w:t>
      </w:r>
    </w:p>
    <w:p w14:paraId="096C0CAD">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本项目施工过程中，如承包人质量、进度等方面不能达到发包人的要求，发包人有权对承包人的部分工程进行切割，切割后如出现费用不足情况，发包方将从承包人的其他工程款中直接扣除。且承包人需处理切割后的遗留问题，保证工程正常施工。由此所产生的一切费用、损失和影响均由承包人自行无条件承担。</w:t>
      </w:r>
    </w:p>
    <w:p w14:paraId="1C1DABE1">
      <w:pPr>
        <w:pStyle w:val="40"/>
        <w:widowControl/>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24、对中标（成交）供应商企业业绩、获奖荣誉、认证证书等，上述评审因素提供的相关内容经评审小组认可后给予得分的，将随中标（成交）结果公开。 </w:t>
      </w:r>
    </w:p>
    <w:p w14:paraId="69013B8C">
      <w:pPr>
        <w:pStyle w:val="41"/>
        <w:spacing w:line="400" w:lineRule="exac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25、采购标的需实现的功能或者目标，以及为落实政府采购政策需满足的要求；</w:t>
      </w:r>
    </w:p>
    <w:p w14:paraId="2BD2A728">
      <w:pPr>
        <w:spacing w:line="400" w:lineRule="exact"/>
        <w:ind w:firstLine="241"/>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本项目落实的政府采购政策对应以下序号为</w:t>
      </w:r>
      <w:r>
        <w:rPr>
          <w:rFonts w:hint="eastAsia" w:ascii="宋体" w:hAnsi="宋体" w:cs="宋体"/>
          <w:b/>
          <w:bCs/>
          <w:color w:val="000000" w:themeColor="text1"/>
          <w:sz w:val="24"/>
          <w:highlight w:val="none"/>
          <w:u w:val="single"/>
          <w14:textFill>
            <w14:solidFill>
              <w14:schemeClr w14:val="tx1"/>
            </w14:solidFill>
          </w14:textFill>
        </w:rPr>
        <w:t xml:space="preserve"> 1、2、3、4</w:t>
      </w:r>
    </w:p>
    <w:p w14:paraId="4304B222">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1.采购本国货物、工程和服务</w:t>
      </w:r>
    </w:p>
    <w:p w14:paraId="2FD1558C">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政府采购应当采购本国货物、工程和服务，但有《中华人民共和国政府采购法》第十条规定情形的除外。如采购进口产品的，应当符合《政府采购进口产品管理办法》（财库〔2007〕119 号文）、《关于政府采购进口产品管理有关问题的通知》（财办库〔2008〕248号文）等相关规定。是否采购进口产品以采购需求中确定的为准。</w:t>
      </w:r>
    </w:p>
    <w:p w14:paraId="0E044197">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2.中小企业政策</w:t>
      </w:r>
    </w:p>
    <w:p w14:paraId="58304D0E">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本项目按以下第</w:t>
      </w:r>
      <w:r>
        <w:rPr>
          <w:rFonts w:hint="eastAsia" w:ascii="宋体" w:hAnsi="宋体" w:cs="宋体"/>
          <w:b/>
          <w:bCs/>
          <w:color w:val="000000" w:themeColor="text1"/>
          <w:sz w:val="24"/>
          <w:highlight w:val="none"/>
          <w:u w:val="single"/>
          <w14:textFill>
            <w14:solidFill>
              <w14:schemeClr w14:val="tx1"/>
            </w14:solidFill>
          </w14:textFill>
        </w:rPr>
        <w:t xml:space="preserve"> （1） </w:t>
      </w:r>
      <w:r>
        <w:rPr>
          <w:rFonts w:hint="eastAsia" w:ascii="宋体" w:hAnsi="宋体" w:cs="宋体"/>
          <w:color w:val="000000" w:themeColor="text1"/>
          <w:sz w:val="24"/>
          <w:highlight w:val="none"/>
          <w14:textFill>
            <w14:solidFill>
              <w14:schemeClr w14:val="tx1"/>
            </w14:solidFill>
          </w14:textFill>
        </w:rPr>
        <w:t>种政策确定本项目落实的中小企业政策：</w:t>
      </w:r>
    </w:p>
    <w:p w14:paraId="7534137D">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（1）本项目专门面向中小企业（含监狱企业、残疾人福利企业）采购。</w:t>
      </w:r>
    </w:p>
    <w:p w14:paraId="1A4ABCC5">
      <w:pPr>
        <w:spacing w:line="400" w:lineRule="exact"/>
        <w:ind w:left="479" w:firstLine="6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（2）投标人提供的货物、工程或者服务符合下列情形的，对小微企业报价给予</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%（工程项目为</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%）的扣除，用扣除后的价格参加评审。</w:t>
      </w:r>
    </w:p>
    <w:p w14:paraId="4F27C8E6">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在服务采购项目中，服务由中小企业承接，即提供服务的人员为中小企业依照《中华人民共和国民法典》订立劳动合同的从业人员。</w:t>
      </w:r>
    </w:p>
    <w:p w14:paraId="134120D3">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①参加投标的中小企业，应当按照《政府采购促进中小企业发展管理办法》（财库〔2020〕46号）规定，出具《中小企业声明函》，中小企业划型依据《关于印发中小企业划型标准规定的通知》（工信部联企业〔2011〕300 号）。</w:t>
      </w:r>
    </w:p>
    <w:p w14:paraId="21D2912E">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投标文件中上传加盖出具单位公章的电子件）。</w:t>
      </w:r>
    </w:p>
    <w:p w14:paraId="71AEAA0E">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46E2C8C3">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2%）的扣除，用扣除后的价格参加评审。（是否接受联合体以“项目基本情况”相关内容为准，是否允许大中型企业向一家或者多家小微企业分包以“供应商须知”、“采购需求”相关内容为准。）</w:t>
      </w:r>
    </w:p>
    <w:p w14:paraId="7A7E43F2">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3.政府采购节能产品、环境标志产品</w:t>
      </w:r>
    </w:p>
    <w:p w14:paraId="2B6B71FD">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5C00DF1">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（2）采购人拟采购的产品属于政府强制采购的节能产品品目清单范围的，投标人须提供国家确定的认证机构出具的、处于有效期之内的节能产品认证证书的，否则无效标处理。</w:t>
      </w:r>
    </w:p>
    <w:p w14:paraId="05ADB839">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（3）采购人拟采购的产品属于优先采购的节能环保品目清单范围的，按以下条件优先采购：</w:t>
      </w:r>
    </w:p>
    <w:p w14:paraId="61EC9B1E">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采用综合评分法的项目，对提供有效节能环保证书的投标人加分。</w:t>
      </w:r>
    </w:p>
    <w:p w14:paraId="4F689DDD">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4.商品包装、快递包装政府采购需求标准（试行）</w:t>
      </w:r>
    </w:p>
    <w:p w14:paraId="69AC4744">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助力打好污染防治攻坚战，推广使用绿色包装，根据财政部印发的《商品包装政府采购需求标准（试行）》、《快递包装政府采购需求标准（试行）》，如本项目涉及商品包装和快递包装的，具体需求详见第四章采购需求。</w:t>
      </w:r>
    </w:p>
    <w:p w14:paraId="4790FDDF">
      <w:pPr>
        <w:spacing w:line="400" w:lineRule="exact"/>
        <w:ind w:firstLine="480"/>
        <w:rPr>
          <w:rFonts w:eastAsia="黑体"/>
          <w:bCs/>
          <w:color w:val="000000" w:themeColor="text1"/>
          <w:sz w:val="44"/>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5、绿色数据中心政府采购需求标准（试行）</w:t>
      </w:r>
    </w:p>
    <w:p w14:paraId="523880CC">
      <w:pPr>
        <w:spacing w:line="40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为加快数据中心绿色转型，根据财政部 生态环境部 工业和信息化部关于印发《绿色数据中心政府采购需求标准（试行）》的通知），本项目如涉及绿色数据中心，具体需求详见第四章采购需求。</w:t>
      </w:r>
    </w:p>
    <w:p w14:paraId="3ABE997C">
      <w:pPr>
        <w:pStyle w:val="41"/>
        <w:spacing w:line="400" w:lineRule="exact"/>
        <w:rPr>
          <w:color w:val="000000" w:themeColor="text1"/>
          <w:highlight w:val="none"/>
          <w14:textFill>
            <w14:solidFill>
              <w14:schemeClr w14:val="tx1"/>
            </w14:solidFill>
          </w14:textFill>
        </w:rPr>
        <w:sectPr>
          <w:pgSz w:w="11906" w:h="16838"/>
          <w:pgMar w:top="1440" w:right="1080" w:bottom="1440" w:left="1080" w:header="851" w:footer="907" w:gutter="0"/>
          <w:pgNumType w:fmt="decimal"/>
          <w:cols w:space="1701" w:num="1"/>
          <w:docGrid w:linePitch="360" w:charSpace="0"/>
        </w:sectPr>
      </w:pPr>
    </w:p>
    <w:p w14:paraId="758071CE">
      <w:pPr>
        <w:pStyle w:val="40"/>
        <w:spacing w:line="520" w:lineRule="exact"/>
        <w:jc w:val="center"/>
        <w:outlineLvl w:val="0"/>
        <w:rPr>
          <w:rFonts w:ascii="Times New Roman" w:hAnsi="Times New Roman" w:eastAsia="黑体"/>
          <w:bCs/>
          <w:color w:val="000000" w:themeColor="text1"/>
          <w:sz w:val="44"/>
          <w:szCs w:val="28"/>
          <w:highlight w:val="none"/>
          <w14:textFill>
            <w14:solidFill>
              <w14:schemeClr w14:val="tx1"/>
            </w14:solidFill>
          </w14:textFill>
        </w:rPr>
      </w:pPr>
      <w:bookmarkStart w:id="232" w:name="_Toc1748"/>
      <w:r>
        <w:rPr>
          <w:rFonts w:hint="eastAsia" w:ascii="Times New Roman" w:hAnsi="Times New Roman" w:eastAsia="黑体"/>
          <w:bCs/>
          <w:color w:val="000000" w:themeColor="text1"/>
          <w:sz w:val="44"/>
          <w:szCs w:val="28"/>
          <w:highlight w:val="none"/>
          <w14:textFill>
            <w14:solidFill>
              <w14:schemeClr w14:val="tx1"/>
            </w14:solidFill>
          </w14:textFill>
        </w:rPr>
        <w:t xml:space="preserve">第五章  </w:t>
      </w:r>
      <w:r>
        <w:rPr>
          <w:rFonts w:hint="eastAsia" w:ascii="Times New Roman" w:hAnsi="Times New Roman" w:eastAsia="黑体"/>
          <w:b/>
          <w:bCs/>
          <w:color w:val="000000" w:themeColor="text1"/>
          <w:sz w:val="44"/>
          <w:szCs w:val="28"/>
          <w:highlight w:val="none"/>
          <w14:textFill>
            <w14:solidFill>
              <w14:schemeClr w14:val="tx1"/>
            </w14:solidFill>
          </w14:textFill>
        </w:rPr>
        <w:t>评审方法与评审标准</w:t>
      </w:r>
      <w:bookmarkEnd w:id="224"/>
      <w:bookmarkEnd w:id="232"/>
    </w:p>
    <w:p w14:paraId="702D04A9">
      <w:pPr>
        <w:rPr>
          <w:color w:val="000000" w:themeColor="text1"/>
          <w:szCs w:val="21"/>
          <w:highlight w:val="none"/>
          <w14:textFill>
            <w14:solidFill>
              <w14:schemeClr w14:val="tx1"/>
            </w14:solidFill>
          </w14:textFill>
        </w:rPr>
      </w:pPr>
    </w:p>
    <w:p w14:paraId="77EA7844">
      <w:pPr>
        <w:spacing w:line="500" w:lineRule="exact"/>
        <w:ind w:firstLine="562"/>
        <w:jc w:val="left"/>
        <w:rPr>
          <w:color w:val="000000" w:themeColor="text1"/>
          <w:sz w:val="24"/>
          <w:highlight w:val="none"/>
          <w14:textFill>
            <w14:solidFill>
              <w14:schemeClr w14:val="tx1"/>
            </w14:solidFill>
          </w14:textFill>
        </w:rPr>
      </w:pPr>
      <w:r>
        <w:rPr>
          <w:rFonts w:hint="eastAsia" w:ascii="仿宋_GB2312" w:eastAsia="仿宋_GB2312"/>
          <w:b/>
          <w:color w:val="000000" w:themeColor="text1"/>
          <w:sz w:val="28"/>
          <w:highlight w:val="none"/>
          <w14:textFill>
            <w14:solidFill>
              <w14:schemeClr w14:val="tx1"/>
            </w14:solidFill>
          </w14:textFill>
        </w:rPr>
        <w:t>一、资格审查。</w:t>
      </w:r>
      <w:r>
        <w:rPr>
          <w:rFonts w:hint="eastAsia"/>
          <w:color w:val="000000" w:themeColor="text1"/>
          <w:sz w:val="24"/>
          <w:highlight w:val="none"/>
          <w14:textFill>
            <w14:solidFill>
              <w14:schemeClr w14:val="tx1"/>
            </w14:solidFill>
          </w14:textFill>
        </w:rPr>
        <w:t>资格审查人员按照下列指标对各供应商的资格进行审查，未通过审查的为无效标，不参与评审。</w:t>
      </w:r>
    </w:p>
    <w:tbl>
      <w:tblPr>
        <w:tblStyle w:val="13"/>
        <w:tblW w:w="9497" w:type="dxa"/>
        <w:tblInd w:w="1"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fixed"/>
        <w:tblCellMar>
          <w:top w:w="0" w:type="dxa"/>
          <w:left w:w="0" w:type="dxa"/>
          <w:bottom w:w="0" w:type="dxa"/>
          <w:right w:w="0" w:type="dxa"/>
        </w:tblCellMar>
      </w:tblPr>
      <w:tblGrid>
        <w:gridCol w:w="3147"/>
        <w:gridCol w:w="6350"/>
      </w:tblGrid>
      <w:tr w14:paraId="02D2CE64">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147" w:type="dxa"/>
            <w:noWrap/>
            <w:vAlign w:val="center"/>
          </w:tcPr>
          <w:p w14:paraId="199A564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资格审查因素</w:t>
            </w:r>
          </w:p>
        </w:tc>
        <w:tc>
          <w:tcPr>
            <w:tcW w:w="6350" w:type="dxa"/>
            <w:noWrap/>
            <w:vAlign w:val="center"/>
          </w:tcPr>
          <w:p w14:paraId="476023F4">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审查标准</w:t>
            </w:r>
          </w:p>
        </w:tc>
      </w:tr>
      <w:tr w14:paraId="7B33A581">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147" w:type="dxa"/>
            <w:noWrap/>
            <w:vAlign w:val="center"/>
          </w:tcPr>
          <w:p w14:paraId="19C3CB76">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响应声明及承诺函</w:t>
            </w:r>
          </w:p>
        </w:tc>
        <w:tc>
          <w:tcPr>
            <w:tcW w:w="6350" w:type="dxa"/>
            <w:noWrap/>
            <w:vAlign w:val="center"/>
          </w:tcPr>
          <w:p w14:paraId="0C7E2DA0">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符合磋商文件要求</w:t>
            </w:r>
          </w:p>
        </w:tc>
      </w:tr>
      <w:tr w14:paraId="7A945304">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147" w:type="dxa"/>
            <w:noWrap/>
            <w:vAlign w:val="center"/>
          </w:tcPr>
          <w:p w14:paraId="181E8CE7">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中小企业声明函</w:t>
            </w:r>
          </w:p>
        </w:tc>
        <w:tc>
          <w:tcPr>
            <w:tcW w:w="6350" w:type="dxa"/>
            <w:noWrap/>
            <w:vAlign w:val="center"/>
          </w:tcPr>
          <w:p w14:paraId="3A17FFC4">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符合磋商文件要求</w:t>
            </w:r>
          </w:p>
        </w:tc>
      </w:tr>
      <w:tr w14:paraId="097A32C3">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147" w:type="dxa"/>
            <w:noWrap/>
            <w:vAlign w:val="center"/>
          </w:tcPr>
          <w:p w14:paraId="2DCE42A3">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信用信息</w:t>
            </w:r>
          </w:p>
        </w:tc>
        <w:tc>
          <w:tcPr>
            <w:tcW w:w="6350" w:type="dxa"/>
            <w:noWrap/>
            <w:vAlign w:val="center"/>
          </w:tcPr>
          <w:p w14:paraId="48E02395">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符合磋商文件要求</w:t>
            </w:r>
          </w:p>
        </w:tc>
      </w:tr>
      <w:tr w14:paraId="3395DFEF">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147" w:type="dxa"/>
            <w:noWrap/>
            <w:vAlign w:val="center"/>
          </w:tcPr>
          <w:p w14:paraId="76AB2CAA">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联合体响应</w:t>
            </w:r>
          </w:p>
        </w:tc>
        <w:tc>
          <w:tcPr>
            <w:tcW w:w="6350" w:type="dxa"/>
            <w:noWrap/>
            <w:vAlign w:val="center"/>
          </w:tcPr>
          <w:p w14:paraId="21667186">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本项目不接受联合体响应</w:t>
            </w:r>
          </w:p>
        </w:tc>
      </w:tr>
      <w:tr w14:paraId="3F30D594">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147" w:type="dxa"/>
            <w:noWrap/>
            <w:vAlign w:val="center"/>
          </w:tcPr>
          <w:p w14:paraId="7B675E89">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本项目的特定资格要求</w:t>
            </w:r>
          </w:p>
        </w:tc>
        <w:tc>
          <w:tcPr>
            <w:tcW w:w="6350" w:type="dxa"/>
            <w:noWrap/>
            <w:vAlign w:val="center"/>
          </w:tcPr>
          <w:p w14:paraId="746D2332">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1.供应商须具有有效的国家建设行政主管部门核发的公路交通工程（公路机电工程分项）专业承包二级及以上资质；</w:t>
            </w:r>
          </w:p>
          <w:p w14:paraId="58E34C34">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2.供应商须具备安全生产条件，具有省级及以上建设行政主管部门核发的有效的《安全生产许可证》；</w:t>
            </w:r>
          </w:p>
          <w:p w14:paraId="2D521289">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3.拟选派的项目负责人须具有机电工程专业二级及以上建造师执业资格</w:t>
            </w:r>
            <w:r>
              <w:rPr>
                <w:rFonts w:hint="eastAsia"/>
                <w:color w:val="000000" w:themeColor="text1"/>
                <w:highlight w:val="none"/>
                <w14:textFill>
                  <w14:solidFill>
                    <w14:schemeClr w14:val="tx1"/>
                  </w14:solidFill>
                </w14:textFill>
              </w:rPr>
              <w:t>，具有省级交通运输行政主管部门核发</w:t>
            </w:r>
            <w:r>
              <w:rPr>
                <w:rFonts w:hint="eastAsia"/>
                <w:color w:val="000000" w:themeColor="text1"/>
                <w:highlight w:val="none"/>
                <w14:textFill>
                  <w14:solidFill>
                    <w14:schemeClr w14:val="tx1"/>
                  </w14:solidFill>
                </w14:textFill>
              </w:rPr>
              <w:t>的《公路水运工程施工企业主要负责人和安全生产管理人员安全生产考核合格证书》（B证）或具有省级交通运输行政主管部门核发的《公路水运工程施工单位主要负责人、项目负责人和专职安全生产管理人员安全生产考核合格证书》（B证）；</w:t>
            </w:r>
          </w:p>
          <w:p w14:paraId="2E9CBA5F">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4.拟选派的项目负责人须为本单位人员，须在响应文件中提供磋商前6个月内本单位为其办理的任意一个月社会养老保险或医疗保险缴纳证明。</w:t>
            </w:r>
          </w:p>
        </w:tc>
      </w:tr>
    </w:tbl>
    <w:p w14:paraId="2F233E6E">
      <w:pPr>
        <w:spacing w:line="500" w:lineRule="exact"/>
        <w:ind w:firstLine="562"/>
        <w:jc w:val="left"/>
        <w:rPr>
          <w:rFonts w:eastAsia="仿宋_GB2312"/>
          <w:color w:val="000000" w:themeColor="text1"/>
          <w:sz w:val="24"/>
          <w:highlight w:val="none"/>
          <w14:textFill>
            <w14:solidFill>
              <w14:schemeClr w14:val="tx1"/>
            </w14:solidFill>
          </w14:textFill>
        </w:rPr>
      </w:pPr>
      <w:r>
        <w:rPr>
          <w:rFonts w:hint="eastAsia" w:ascii="仿宋_GB2312" w:eastAsia="仿宋_GB2312"/>
          <w:b/>
          <w:color w:val="000000" w:themeColor="text1"/>
          <w:sz w:val="28"/>
          <w:highlight w:val="none"/>
          <w14:textFill>
            <w14:solidFill>
              <w14:schemeClr w14:val="tx1"/>
            </w14:solidFill>
          </w14:textFill>
        </w:rPr>
        <w:t>二、符合性审查。</w:t>
      </w:r>
      <w:r>
        <w:rPr>
          <w:rFonts w:hint="eastAsia"/>
          <w:color w:val="000000" w:themeColor="text1"/>
          <w:sz w:val="24"/>
          <w:highlight w:val="none"/>
          <w14:textFill>
            <w14:solidFill>
              <w14:schemeClr w14:val="tx1"/>
            </w14:solidFill>
          </w14:textFill>
        </w:rPr>
        <w:t>磋商小组首先按照下列指标对各供应商进行初步评审，未通过评审的为无效标，不再参与评审。</w:t>
      </w:r>
    </w:p>
    <w:tbl>
      <w:tblPr>
        <w:tblStyle w:val="13"/>
        <w:tblW w:w="8892" w:type="dxa"/>
        <w:tblInd w:w="0"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fixed"/>
        <w:tblCellMar>
          <w:top w:w="0" w:type="dxa"/>
          <w:left w:w="0" w:type="dxa"/>
          <w:bottom w:w="0" w:type="dxa"/>
          <w:right w:w="0" w:type="dxa"/>
        </w:tblCellMar>
      </w:tblPr>
      <w:tblGrid>
        <w:gridCol w:w="3556"/>
        <w:gridCol w:w="5336"/>
      </w:tblGrid>
      <w:tr w14:paraId="26386308">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556" w:type="dxa"/>
            <w:noWrap/>
            <w:vAlign w:val="center"/>
          </w:tcPr>
          <w:p w14:paraId="1EBD9422">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评审因素</w:t>
            </w:r>
          </w:p>
        </w:tc>
        <w:tc>
          <w:tcPr>
            <w:tcW w:w="5336" w:type="dxa"/>
            <w:noWrap/>
            <w:vAlign w:val="center"/>
          </w:tcPr>
          <w:p w14:paraId="1085374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评审标准</w:t>
            </w:r>
          </w:p>
        </w:tc>
      </w:tr>
      <w:tr w14:paraId="40973D0A">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556" w:type="dxa"/>
            <w:noWrap/>
            <w:vAlign w:val="center"/>
          </w:tcPr>
          <w:p w14:paraId="6691D6B6">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法定代表人身份证明或授权委托书</w:t>
            </w:r>
          </w:p>
        </w:tc>
        <w:tc>
          <w:tcPr>
            <w:tcW w:w="5336" w:type="dxa"/>
            <w:noWrap/>
            <w:vAlign w:val="center"/>
          </w:tcPr>
          <w:p w14:paraId="765DF55F">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符合磋商文件要求</w:t>
            </w:r>
          </w:p>
        </w:tc>
      </w:tr>
      <w:tr w14:paraId="03689B00">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556" w:type="dxa"/>
            <w:noWrap/>
            <w:vAlign w:val="center"/>
          </w:tcPr>
          <w:p w14:paraId="49D39609">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开标一览表及投标报价</w:t>
            </w:r>
          </w:p>
        </w:tc>
        <w:tc>
          <w:tcPr>
            <w:tcW w:w="5336" w:type="dxa"/>
            <w:noWrap/>
            <w:vAlign w:val="center"/>
          </w:tcPr>
          <w:p w14:paraId="4753BFD4">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符合磋商文件要求</w:t>
            </w:r>
          </w:p>
        </w:tc>
      </w:tr>
      <w:tr w14:paraId="5E883850">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556" w:type="dxa"/>
            <w:noWrap/>
            <w:vAlign w:val="center"/>
          </w:tcPr>
          <w:p w14:paraId="7A0896C7">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技术标准和要求</w:t>
            </w:r>
          </w:p>
        </w:tc>
        <w:tc>
          <w:tcPr>
            <w:tcW w:w="5336" w:type="dxa"/>
            <w:noWrap/>
            <w:vAlign w:val="center"/>
          </w:tcPr>
          <w:p w14:paraId="4AFC8AEC">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符合磋商文件要求</w:t>
            </w:r>
          </w:p>
        </w:tc>
      </w:tr>
      <w:tr w14:paraId="55801B72">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556" w:type="dxa"/>
            <w:noWrap/>
            <w:vAlign w:val="center"/>
          </w:tcPr>
          <w:p w14:paraId="030EAB21">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w:t>
            </w:r>
          </w:p>
        </w:tc>
        <w:tc>
          <w:tcPr>
            <w:tcW w:w="5336" w:type="dxa"/>
            <w:noWrap/>
            <w:vAlign w:val="center"/>
          </w:tcPr>
          <w:p w14:paraId="2CCC734A">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符合磋商文件要求</w:t>
            </w:r>
          </w:p>
        </w:tc>
      </w:tr>
    </w:tbl>
    <w:p w14:paraId="362518EE">
      <w:pPr>
        <w:spacing w:line="500" w:lineRule="exact"/>
        <w:ind w:firstLine="562"/>
        <w:outlineLvl w:val="1"/>
        <w:rPr>
          <w:rFonts w:ascii="仿宋_GB2312" w:eastAsia="仿宋_GB2312"/>
          <w:b/>
          <w:color w:val="000000" w:themeColor="text1"/>
          <w:sz w:val="28"/>
          <w:highlight w:val="none"/>
          <w14:textFill>
            <w14:solidFill>
              <w14:schemeClr w14:val="tx1"/>
            </w14:solidFill>
          </w14:textFill>
        </w:rPr>
      </w:pPr>
      <w:r>
        <w:rPr>
          <w:rFonts w:hint="eastAsia" w:ascii="仿宋_GB2312" w:eastAsia="仿宋_GB2312"/>
          <w:b/>
          <w:color w:val="000000" w:themeColor="text1"/>
          <w:sz w:val="28"/>
          <w:highlight w:val="none"/>
          <w14:textFill>
            <w14:solidFill>
              <w14:schemeClr w14:val="tx1"/>
            </w14:solidFill>
          </w14:textFill>
        </w:rPr>
        <w:t>三、评分办法—综合评分法</w:t>
      </w:r>
    </w:p>
    <w:p w14:paraId="0ADD645B">
      <w:pPr>
        <w:spacing w:line="500" w:lineRule="exact"/>
        <w:ind w:firstLine="482"/>
        <w:jc w:val="left"/>
        <w:rPr>
          <w:color w:val="000000" w:themeColor="text1"/>
          <w:sz w:val="24"/>
          <w:highlight w:val="none"/>
          <w14:textFill>
            <w14:solidFill>
              <w14:schemeClr w14:val="tx1"/>
            </w14:solidFill>
          </w14:textFill>
        </w:rPr>
      </w:pPr>
      <w:r>
        <w:rPr>
          <w:rFonts w:hint="eastAsia" w:eastAsia="仿宋_GB2312"/>
          <w:b/>
          <w:color w:val="000000" w:themeColor="text1"/>
          <w:sz w:val="24"/>
          <w:highlight w:val="none"/>
          <w14:textFill>
            <w14:solidFill>
              <w14:schemeClr w14:val="tx1"/>
            </w14:solidFill>
          </w14:textFill>
        </w:rPr>
        <w:t>（一）评标办法：</w:t>
      </w:r>
      <w:r>
        <w:rPr>
          <w:color w:val="000000" w:themeColor="text1"/>
          <w:sz w:val="24"/>
          <w:highlight w:val="none"/>
          <w14:textFill>
            <w14:solidFill>
              <w14:schemeClr w14:val="tx1"/>
            </w14:solidFill>
          </w14:textFill>
        </w:rPr>
        <w:t>本次评审采用综合评分法，磋商小组成员根据磋商文件规定进行独立评审，对需要共同认定的客观分存在争议的，应当按照少数服从多数的原则作出结论。持不同意见的磋商小组成员应当在评审报告上签署不同意见及理由，否则视为同意评审报告。评审过程中，不得去掉报价中的最高报价和最低报价。因落实政府采购政策进行价格调整的，以调整后的价格计算磋商基准价和最后磋商报价。本次评审</w:t>
      </w:r>
      <w:r>
        <w:rPr>
          <w:rFonts w:hint="eastAsia"/>
          <w:color w:val="000000" w:themeColor="text1"/>
          <w:sz w:val="24"/>
          <w:highlight w:val="none"/>
          <w14:textFill>
            <w14:solidFill>
              <w14:schemeClr w14:val="tx1"/>
            </w14:solidFill>
          </w14:textFill>
        </w:rPr>
        <w:t>按得分高低顺序推荐成交候选人。得分相同的，按报价从低到高顺序排列；得分且报价相同的，按技术指标优劣顺序排列。</w:t>
      </w:r>
    </w:p>
    <w:p w14:paraId="6BF22C51">
      <w:pPr>
        <w:spacing w:line="500" w:lineRule="exac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磋商小组</w:t>
      </w:r>
      <w:r>
        <w:rPr>
          <w:rFonts w:hint="eastAsia"/>
          <w:color w:val="000000" w:themeColor="text1"/>
          <w:sz w:val="24"/>
          <w:highlight w:val="none"/>
          <w14:textFill>
            <w14:solidFill>
              <w14:schemeClr w14:val="tx1"/>
            </w14:solidFill>
          </w14:textFill>
        </w:rPr>
        <w:t>根据评审后供应商排序推荐3名成交候选人。响应文件满足磋商文件全部实质性要求，且评审后排序第一的供应商为第一成交候选人，依次类推。</w:t>
      </w:r>
    </w:p>
    <w:p w14:paraId="457E70D3">
      <w:pPr>
        <w:spacing w:line="500" w:lineRule="exact"/>
        <w:ind w:firstLine="48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综合评分保留至小数点后两位。 </w:t>
      </w:r>
    </w:p>
    <w:p w14:paraId="22D2EBC7">
      <w:pPr>
        <w:spacing w:line="500" w:lineRule="exact"/>
        <w:ind w:firstLine="482"/>
        <w:jc w:val="left"/>
        <w:rPr>
          <w:rFonts w:eastAsia="仿宋_GB2312"/>
          <w:b/>
          <w:color w:val="000000" w:themeColor="text1"/>
          <w:sz w:val="24"/>
          <w:highlight w:val="none"/>
          <w14:textFill>
            <w14:solidFill>
              <w14:schemeClr w14:val="tx1"/>
            </w14:solidFill>
          </w14:textFill>
        </w:rPr>
      </w:pPr>
      <w:r>
        <w:rPr>
          <w:rFonts w:hint="eastAsia" w:eastAsia="仿宋_GB2312"/>
          <w:b/>
          <w:color w:val="000000" w:themeColor="text1"/>
          <w:sz w:val="24"/>
          <w:highlight w:val="none"/>
          <w14:textFill>
            <w14:solidFill>
              <w14:schemeClr w14:val="tx1"/>
            </w14:solidFill>
          </w14:textFill>
        </w:rPr>
        <w:t>（二）详细评审。</w:t>
      </w:r>
      <w:r>
        <w:rPr>
          <w:rFonts w:hint="eastAsia"/>
          <w:color w:val="000000" w:themeColor="text1"/>
          <w:sz w:val="24"/>
          <w:highlight w:val="none"/>
          <w14:textFill>
            <w14:solidFill>
              <w14:schemeClr w14:val="tx1"/>
            </w14:solidFill>
          </w14:textFill>
        </w:rPr>
        <w:t>磋商小组按照竞争性磋商文件规定的评分标准，对各响应文件进行详细评审打分。磋商小组组长对各评审专家的打分情况进行复核无误后汇总。</w:t>
      </w:r>
    </w:p>
    <w:tbl>
      <w:tblPr>
        <w:tblStyle w:val="13"/>
        <w:tblW w:w="5330" w:type="pct"/>
        <w:tblInd w:w="-7"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autofit"/>
        <w:tblCellMar>
          <w:top w:w="0" w:type="dxa"/>
          <w:left w:w="0" w:type="dxa"/>
          <w:bottom w:w="0" w:type="dxa"/>
          <w:right w:w="0" w:type="dxa"/>
        </w:tblCellMar>
      </w:tblPr>
      <w:tblGrid>
        <w:gridCol w:w="1207"/>
        <w:gridCol w:w="3307"/>
        <w:gridCol w:w="1179"/>
        <w:gridCol w:w="4728"/>
      </w:tblGrid>
      <w:tr w14:paraId="6432F153">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4501" w:type="dxa"/>
            <w:gridSpan w:val="2"/>
            <w:noWrap/>
            <w:vAlign w:val="center"/>
          </w:tcPr>
          <w:p w14:paraId="2994B88C">
            <w:pPr>
              <w:jc w:val="center"/>
              <w:rPr>
                <w:rFonts w:ascii="Calibri" w:hAnsi="Calibri"/>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评审因素</w:t>
            </w:r>
          </w:p>
        </w:tc>
        <w:tc>
          <w:tcPr>
            <w:tcW w:w="1175" w:type="dxa"/>
            <w:noWrap/>
            <w:vAlign w:val="center"/>
          </w:tcPr>
          <w:p w14:paraId="0CE637D7">
            <w:pPr>
              <w:jc w:val="center"/>
              <w:rPr>
                <w:rFonts w:ascii="Calibri" w:hAnsi="Calibri"/>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分数</w:t>
            </w:r>
          </w:p>
        </w:tc>
        <w:tc>
          <w:tcPr>
            <w:tcW w:w="4714" w:type="dxa"/>
            <w:noWrap/>
            <w:vAlign w:val="center"/>
          </w:tcPr>
          <w:p w14:paraId="3D06A425">
            <w:pPr>
              <w:jc w:val="center"/>
              <w:rPr>
                <w:rFonts w:ascii="Calibri" w:hAnsi="Calibri"/>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评审标准</w:t>
            </w:r>
          </w:p>
        </w:tc>
      </w:tr>
      <w:tr w14:paraId="1C8D3D43">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1204" w:type="dxa"/>
            <w:noWrap/>
            <w:vAlign w:val="center"/>
          </w:tcPr>
          <w:p w14:paraId="0BE19B3D">
            <w:pPr>
              <w:jc w:val="left"/>
              <w:rPr>
                <w:rFonts w:ascii="Calibri" w:hAnsi="Calibri"/>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报价分</w:t>
            </w:r>
          </w:p>
        </w:tc>
        <w:tc>
          <w:tcPr>
            <w:tcW w:w="3297" w:type="dxa"/>
            <w:noWrap/>
            <w:vAlign w:val="center"/>
          </w:tcPr>
          <w:p w14:paraId="361FBDEE">
            <w:pPr>
              <w:jc w:val="left"/>
              <w:rPr>
                <w:rFonts w:ascii="Calibri" w:hAnsi="Calibri"/>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投标报价</w:t>
            </w:r>
          </w:p>
        </w:tc>
        <w:tc>
          <w:tcPr>
            <w:tcW w:w="1175" w:type="dxa"/>
            <w:noWrap/>
            <w:vAlign w:val="center"/>
          </w:tcPr>
          <w:p w14:paraId="682A1B9E">
            <w:pPr>
              <w:jc w:val="center"/>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15</w:t>
            </w:r>
            <w:r>
              <w:rPr>
                <w:rFonts w:ascii="Calibri" w:hAnsi="Calibri"/>
                <w:color w:val="000000" w:themeColor="text1"/>
                <w:szCs w:val="21"/>
                <w:highlight w:val="none"/>
                <w14:textFill>
                  <w14:solidFill>
                    <w14:schemeClr w14:val="tx1"/>
                  </w14:solidFill>
                </w14:textFill>
              </w:rPr>
              <w:t>.00</w:t>
            </w:r>
          </w:p>
        </w:tc>
        <w:tc>
          <w:tcPr>
            <w:tcW w:w="4714" w:type="dxa"/>
            <w:noWrap/>
            <w:vAlign w:val="center"/>
          </w:tcPr>
          <w:p w14:paraId="7FB9FF71">
            <w:pPr>
              <w:jc w:val="left"/>
              <w:rPr>
                <w:rFonts w:ascii="Calibri" w:hAnsi="Calibri"/>
                <w:color w:val="000000" w:themeColor="text1"/>
                <w:szCs w:val="21"/>
                <w:highlight w:val="none"/>
                <w14:textFill>
                  <w14:solidFill>
                    <w14:schemeClr w14:val="tx1"/>
                  </w14:solidFill>
                </w14:textFill>
              </w:rPr>
            </w:pPr>
            <w:r>
              <w:rPr>
                <w:rFonts w:ascii="Calibri" w:hAnsi="Calibri"/>
                <w:color w:val="000000" w:themeColor="text1"/>
                <w:szCs w:val="21"/>
                <w:highlight w:val="none"/>
                <w14:textFill>
                  <w14:solidFill>
                    <w14:schemeClr w14:val="tx1"/>
                  </w14:solidFill>
                </w14:textFill>
              </w:rPr>
              <w:t>所有通过评审的有效投标报价的最低报价为评标基准价。投标报价得分＝（评标基准价/投标报价）*</w:t>
            </w:r>
            <w:r>
              <w:rPr>
                <w:rFonts w:hint="eastAsia" w:ascii="Calibri" w:hAnsi="Calibri"/>
                <w:color w:val="000000" w:themeColor="text1"/>
                <w:szCs w:val="21"/>
                <w:highlight w:val="none"/>
                <w14:textFill>
                  <w14:solidFill>
                    <w14:schemeClr w14:val="tx1"/>
                  </w14:solidFill>
                </w14:textFill>
              </w:rPr>
              <w:t>15</w:t>
            </w:r>
            <w:r>
              <w:rPr>
                <w:rFonts w:ascii="Calibri" w:hAnsi="Calibri"/>
                <w:color w:val="000000" w:themeColor="text1"/>
                <w:szCs w:val="21"/>
                <w:highlight w:val="none"/>
                <w14:textFill>
                  <w14:solidFill>
                    <w14:schemeClr w14:val="tx1"/>
                  </w14:solidFill>
                </w14:textFill>
              </w:rPr>
              <w:t>。</w:t>
            </w:r>
          </w:p>
        </w:tc>
      </w:tr>
      <w:tr w14:paraId="79C7B6DD">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2713" w:hRule="atLeast"/>
        </w:trPr>
        <w:tc>
          <w:tcPr>
            <w:tcW w:w="1204" w:type="dxa"/>
            <w:noWrap/>
            <w:vAlign w:val="center"/>
          </w:tcPr>
          <w:p w14:paraId="01671E29">
            <w:pPr>
              <w:jc w:val="left"/>
              <w:rPr>
                <w:rFonts w:ascii="Calibri" w:hAnsi="Calibri"/>
                <w:color w:val="000000" w:themeColor="text1"/>
                <w:highlight w:val="none"/>
                <w14:textFill>
                  <w14:solidFill>
                    <w14:schemeClr w14:val="tx1"/>
                  </w14:solidFill>
                </w14:textFill>
              </w:rPr>
            </w:pPr>
            <w:r>
              <w:rPr>
                <w:rFonts w:hint="eastAsia" w:ascii="Calibri" w:hAnsi="Calibri"/>
                <w:color w:val="000000" w:themeColor="text1"/>
                <w:highlight w:val="none"/>
                <w14:textFill>
                  <w14:solidFill>
                    <w14:schemeClr w14:val="tx1"/>
                  </w14:solidFill>
                </w14:textFill>
              </w:rPr>
              <w:t>主要材料与设备</w:t>
            </w:r>
          </w:p>
        </w:tc>
        <w:tc>
          <w:tcPr>
            <w:tcW w:w="3297" w:type="dxa"/>
            <w:noWrap/>
            <w:vAlign w:val="center"/>
          </w:tcPr>
          <w:p w14:paraId="56D28A87">
            <w:pPr>
              <w:jc w:val="left"/>
              <w:rPr>
                <w:rFonts w:ascii="Calibri" w:hAnsi="Calibri"/>
                <w:color w:val="000000" w:themeColor="text1"/>
                <w:highlight w:val="none"/>
                <w14:textFill>
                  <w14:solidFill>
                    <w14:schemeClr w14:val="tx1"/>
                  </w14:solidFill>
                </w14:textFill>
              </w:rPr>
            </w:pPr>
            <w:r>
              <w:rPr>
                <w:rFonts w:hint="eastAsia" w:ascii="Calibri" w:hAnsi="Calibri"/>
                <w:color w:val="000000" w:themeColor="text1"/>
                <w:highlight w:val="none"/>
                <w14:textFill>
                  <w14:solidFill>
                    <w14:schemeClr w14:val="tx1"/>
                  </w14:solidFill>
                </w14:textFill>
              </w:rPr>
              <w:t>主要材料与设备</w:t>
            </w:r>
          </w:p>
        </w:tc>
        <w:tc>
          <w:tcPr>
            <w:tcW w:w="1175" w:type="dxa"/>
            <w:noWrap/>
            <w:vAlign w:val="center"/>
          </w:tcPr>
          <w:p w14:paraId="4824307B">
            <w:pPr>
              <w:jc w:val="center"/>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5.00</w:t>
            </w:r>
          </w:p>
        </w:tc>
        <w:tc>
          <w:tcPr>
            <w:tcW w:w="4714" w:type="dxa"/>
            <w:noWrap/>
            <w:vAlign w:val="center"/>
          </w:tcPr>
          <w:p w14:paraId="50EAD539">
            <w:pPr>
              <w:jc w:val="left"/>
              <w:rPr>
                <w:rFonts w:hint="eastAsia"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供应商所投产品的技术性能、功能、参数、规格等能够完全满足或优于采购文件中技术参数要求，得5分。标“</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Calibri" w:hAnsi="Calibri"/>
                <w:color w:val="000000" w:themeColor="text1"/>
                <w:szCs w:val="21"/>
                <w:highlight w:val="none"/>
                <w14:textFill>
                  <w14:solidFill>
                    <w14:schemeClr w14:val="tx1"/>
                  </w14:solidFill>
                </w14:textFill>
              </w:rPr>
              <w:t>”内容为重点参数要求，每有一项负偏离的扣</w:t>
            </w:r>
            <w:r>
              <w:rPr>
                <w:rFonts w:hint="eastAsia" w:ascii="Calibri" w:hAnsi="Calibri"/>
                <w:color w:val="000000" w:themeColor="text1"/>
                <w:szCs w:val="21"/>
                <w:highlight w:val="none"/>
                <w:lang w:val="en-US" w:eastAsia="zh-CN"/>
                <w14:textFill>
                  <w14:solidFill>
                    <w14:schemeClr w14:val="tx1"/>
                  </w14:solidFill>
                </w14:textFill>
              </w:rPr>
              <w:t>0.2</w:t>
            </w:r>
            <w:r>
              <w:rPr>
                <w:rFonts w:hint="eastAsia" w:ascii="Calibri" w:hAnsi="Calibri"/>
                <w:color w:val="000000" w:themeColor="text1"/>
                <w:szCs w:val="21"/>
                <w:highlight w:val="none"/>
                <w14:textFill>
                  <w14:solidFill>
                    <w14:schemeClr w14:val="tx1"/>
                  </w14:solidFill>
                </w14:textFill>
              </w:rPr>
              <w:t>分。其余每有一项</w:t>
            </w:r>
            <w:r>
              <w:rPr>
                <w:rFonts w:hint="eastAsia" w:ascii="Calibri" w:hAnsi="Calibri"/>
                <w:color w:val="000000" w:themeColor="text1"/>
                <w:szCs w:val="21"/>
                <w:highlight w:val="none"/>
                <w:lang w:eastAsia="zh-CN"/>
                <w14:textFill>
                  <w14:solidFill>
                    <w14:schemeClr w14:val="tx1"/>
                  </w14:solidFill>
                </w14:textFill>
              </w:rPr>
              <w:t>（除“★”外）</w:t>
            </w:r>
            <w:r>
              <w:rPr>
                <w:rFonts w:hint="eastAsia" w:ascii="Calibri" w:hAnsi="Calibri"/>
                <w:color w:val="000000" w:themeColor="text1"/>
                <w:szCs w:val="21"/>
                <w:highlight w:val="none"/>
                <w14:textFill>
                  <w14:solidFill>
                    <w14:schemeClr w14:val="tx1"/>
                  </w14:solidFill>
                </w14:textFill>
              </w:rPr>
              <w:t>负偏离扣0.</w:t>
            </w:r>
            <w:r>
              <w:rPr>
                <w:rFonts w:hint="eastAsia" w:ascii="Calibri" w:hAnsi="Calibri"/>
                <w:color w:val="000000" w:themeColor="text1"/>
                <w:szCs w:val="21"/>
                <w:highlight w:val="none"/>
                <w:lang w:val="en-US" w:eastAsia="zh-CN"/>
                <w14:textFill>
                  <w14:solidFill>
                    <w14:schemeClr w14:val="tx1"/>
                  </w14:solidFill>
                </w14:textFill>
              </w:rPr>
              <w:t>04</w:t>
            </w:r>
            <w:r>
              <w:rPr>
                <w:rFonts w:hint="eastAsia" w:ascii="Calibri" w:hAnsi="Calibri"/>
                <w:color w:val="000000" w:themeColor="text1"/>
                <w:szCs w:val="21"/>
                <w:highlight w:val="none"/>
                <w14:textFill>
                  <w14:solidFill>
                    <w14:schemeClr w14:val="tx1"/>
                  </w14:solidFill>
                </w14:textFill>
              </w:rPr>
              <w:t>分，扣完为止。</w:t>
            </w:r>
          </w:p>
          <w:p w14:paraId="77CA9FC7">
            <w:pPr>
              <w:jc w:val="lef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注：供应商针对本项评分内容在响应文件《技术要求响应偏离表》中逐条列出响应及偏离情况，采购需求中要求提供证明材料的，以证明材料为准；采购需求中未要求提供证明材料的，以《技术要求响应偏离表》为准。未按要求提供证明材料或未在响应偏离表中列明偏离情况的对应项按负偏离进行扣分处理。</w:t>
            </w:r>
          </w:p>
        </w:tc>
      </w:tr>
      <w:tr w14:paraId="1A978774">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2713" w:hRule="atLeast"/>
        </w:trPr>
        <w:tc>
          <w:tcPr>
            <w:tcW w:w="1204" w:type="dxa"/>
            <w:vMerge w:val="restart"/>
            <w:noWrap/>
            <w:vAlign w:val="center"/>
          </w:tcPr>
          <w:p w14:paraId="2E343D1A">
            <w:pPr>
              <w:jc w:val="left"/>
              <w:rPr>
                <w:rFonts w:ascii="Calibri" w:hAnsi="Calibri"/>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企业经营业绩、信誉</w:t>
            </w:r>
          </w:p>
        </w:tc>
        <w:tc>
          <w:tcPr>
            <w:tcW w:w="3297" w:type="dxa"/>
            <w:noWrap/>
            <w:vAlign w:val="center"/>
          </w:tcPr>
          <w:p w14:paraId="5E2EA6B5">
            <w:pPr>
              <w:jc w:val="left"/>
              <w:rPr>
                <w:rFonts w:ascii="Calibri" w:hAnsi="Calibri"/>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企业业绩</w:t>
            </w:r>
          </w:p>
        </w:tc>
        <w:tc>
          <w:tcPr>
            <w:tcW w:w="1175" w:type="dxa"/>
            <w:noWrap/>
            <w:vAlign w:val="center"/>
          </w:tcPr>
          <w:p w14:paraId="18EF853E">
            <w:pPr>
              <w:jc w:val="center"/>
              <w:rPr>
                <w:rFonts w:ascii="Calibri" w:hAnsi="Calibri"/>
                <w:color w:val="000000" w:themeColor="text1"/>
                <w:szCs w:val="21"/>
                <w:highlight w:val="none"/>
                <w14:textFill>
                  <w14:solidFill>
                    <w14:schemeClr w14:val="tx1"/>
                  </w14:solidFill>
                </w14:textFill>
              </w:rPr>
            </w:pPr>
            <w:r>
              <w:rPr>
                <w:rFonts w:ascii="Calibri" w:hAnsi="Calibri"/>
                <w:color w:val="000000" w:themeColor="text1"/>
                <w:szCs w:val="21"/>
                <w:highlight w:val="none"/>
                <w14:textFill>
                  <w14:solidFill>
                    <w14:schemeClr w14:val="tx1"/>
                  </w14:solidFill>
                </w14:textFill>
              </w:rPr>
              <w:t>1</w:t>
            </w:r>
            <w:r>
              <w:rPr>
                <w:rFonts w:hint="eastAsia" w:ascii="Calibri" w:hAnsi="Calibri"/>
                <w:color w:val="000000" w:themeColor="text1"/>
                <w:szCs w:val="21"/>
                <w:highlight w:val="none"/>
                <w14:textFill>
                  <w14:solidFill>
                    <w14:schemeClr w14:val="tx1"/>
                  </w14:solidFill>
                </w14:textFill>
              </w:rPr>
              <w:t>5</w:t>
            </w:r>
            <w:r>
              <w:rPr>
                <w:rFonts w:ascii="Calibri" w:hAnsi="Calibri"/>
                <w:color w:val="000000" w:themeColor="text1"/>
                <w:szCs w:val="21"/>
                <w:highlight w:val="none"/>
                <w14:textFill>
                  <w14:solidFill>
                    <w14:schemeClr w14:val="tx1"/>
                  </w14:solidFill>
                </w14:textFill>
              </w:rPr>
              <w:t>.00</w:t>
            </w:r>
          </w:p>
        </w:tc>
        <w:tc>
          <w:tcPr>
            <w:tcW w:w="4714" w:type="dxa"/>
            <w:noWrap/>
            <w:vAlign w:val="center"/>
          </w:tcPr>
          <w:p w14:paraId="7E30D621">
            <w:pPr>
              <w:jc w:val="left"/>
              <w:rPr>
                <w:rFonts w:ascii="Calibri" w:hAnsi="Calibri"/>
                <w:color w:val="000000" w:themeColor="text1"/>
                <w:szCs w:val="21"/>
                <w:highlight w:val="none"/>
                <w14:textFill>
                  <w14:solidFill>
                    <w14:schemeClr w14:val="tx1"/>
                  </w14:solidFill>
                </w14:textFill>
              </w:rPr>
            </w:pPr>
            <w:r>
              <w:rPr>
                <w:rFonts w:ascii="Calibri" w:hAnsi="Calibri"/>
                <w:color w:val="000000" w:themeColor="text1"/>
                <w:szCs w:val="21"/>
                <w:highlight w:val="none"/>
                <w14:textFill>
                  <w14:solidFill>
                    <w14:schemeClr w14:val="tx1"/>
                  </w14:solidFill>
                </w14:textFill>
              </w:rPr>
              <w:t>供应商</w:t>
            </w:r>
            <w:r>
              <w:rPr>
                <w:rFonts w:hint="eastAsia" w:ascii="Calibri" w:hAnsi="Calibri"/>
                <w:color w:val="000000" w:themeColor="text1"/>
                <w:szCs w:val="21"/>
                <w:highlight w:val="none"/>
                <w14:textFill>
                  <w14:solidFill>
                    <w14:schemeClr w14:val="tx1"/>
                  </w14:solidFill>
                </w14:textFill>
              </w:rPr>
              <w:t>自</w:t>
            </w:r>
            <w:r>
              <w:rPr>
                <w:rFonts w:ascii="Calibri" w:hAnsi="Calibri"/>
                <w:color w:val="000000" w:themeColor="text1"/>
                <w:szCs w:val="21"/>
                <w:highlight w:val="none"/>
                <w14:textFill>
                  <w14:solidFill>
                    <w14:schemeClr w14:val="tx1"/>
                  </w14:solidFill>
                </w14:textFill>
              </w:rPr>
              <w:t>20</w:t>
            </w:r>
            <w:r>
              <w:rPr>
                <w:rFonts w:hint="eastAsia" w:ascii="Calibri" w:hAnsi="Calibri"/>
                <w:color w:val="000000" w:themeColor="text1"/>
                <w:szCs w:val="21"/>
                <w:highlight w:val="none"/>
                <w14:textFill>
                  <w14:solidFill>
                    <w14:schemeClr w14:val="tx1"/>
                  </w14:solidFill>
                </w14:textFill>
              </w:rPr>
              <w:t>20</w:t>
            </w:r>
            <w:r>
              <w:rPr>
                <w:rFonts w:ascii="Calibri" w:hAnsi="Calibri"/>
                <w:color w:val="000000" w:themeColor="text1"/>
                <w:szCs w:val="21"/>
                <w:highlight w:val="none"/>
                <w14:textFill>
                  <w14:solidFill>
                    <w14:schemeClr w14:val="tx1"/>
                  </w14:solidFill>
                </w14:textFill>
              </w:rPr>
              <w:t>年1月1日以来（以</w:t>
            </w:r>
            <w:r>
              <w:rPr>
                <w:rFonts w:hint="eastAsia" w:ascii="Calibri" w:hAnsi="Calibri"/>
                <w:color w:val="000000" w:themeColor="text1"/>
                <w:szCs w:val="21"/>
                <w:highlight w:val="none"/>
                <w14:textFill>
                  <w14:solidFill>
                    <w14:schemeClr w14:val="tx1"/>
                  </w14:solidFill>
                </w14:textFill>
              </w:rPr>
              <w:t>交/竣工</w:t>
            </w:r>
            <w:r>
              <w:rPr>
                <w:rFonts w:ascii="Calibri" w:hAnsi="Calibri"/>
                <w:color w:val="000000" w:themeColor="text1"/>
                <w:szCs w:val="21"/>
                <w:highlight w:val="none"/>
                <w14:textFill>
                  <w14:solidFill>
                    <w14:schemeClr w14:val="tx1"/>
                  </w14:solidFill>
                </w14:textFill>
              </w:rPr>
              <w:t>时间为准）</w:t>
            </w:r>
            <w:r>
              <w:rPr>
                <w:rFonts w:hint="eastAsia" w:ascii="Calibri" w:hAnsi="Calibri"/>
                <w:color w:val="000000" w:themeColor="text1"/>
                <w:szCs w:val="21"/>
                <w:highlight w:val="none"/>
                <w14:textFill>
                  <w14:solidFill>
                    <w14:schemeClr w14:val="tx1"/>
                  </w14:solidFill>
                </w14:textFill>
              </w:rPr>
              <w:t>承担</w:t>
            </w:r>
            <w:r>
              <w:rPr>
                <w:rFonts w:ascii="Calibri" w:hAnsi="Calibri"/>
                <w:color w:val="000000" w:themeColor="text1"/>
                <w:szCs w:val="21"/>
                <w:highlight w:val="none"/>
                <w14:textFill>
                  <w14:solidFill>
                    <w14:schemeClr w14:val="tx1"/>
                  </w14:solidFill>
                </w14:textFill>
              </w:rPr>
              <w:t>过</w:t>
            </w:r>
            <w:r>
              <w:rPr>
                <w:rFonts w:hint="eastAsia" w:ascii="Calibri" w:hAnsi="Calibri"/>
                <w:color w:val="000000" w:themeColor="text1"/>
                <w:szCs w:val="21"/>
                <w:highlight w:val="none"/>
                <w14:textFill>
                  <w14:solidFill>
                    <w14:schemeClr w14:val="tx1"/>
                  </w14:solidFill>
                </w14:textFill>
              </w:rPr>
              <w:t>类似</w:t>
            </w:r>
            <w:r>
              <w:rPr>
                <w:rFonts w:ascii="Calibri" w:hAnsi="Calibri"/>
                <w:color w:val="000000" w:themeColor="text1"/>
                <w:szCs w:val="21"/>
                <w:highlight w:val="none"/>
                <w14:textFill>
                  <w14:solidFill>
                    <w14:schemeClr w14:val="tx1"/>
                  </w14:solidFill>
                </w14:textFill>
              </w:rPr>
              <w:t>项目，每</w:t>
            </w:r>
            <w:r>
              <w:rPr>
                <w:rFonts w:hint="eastAsia" w:ascii="Calibri" w:hAnsi="Calibri"/>
                <w:color w:val="000000" w:themeColor="text1"/>
                <w:szCs w:val="21"/>
                <w:highlight w:val="none"/>
                <w14:textFill>
                  <w14:solidFill>
                    <w14:schemeClr w14:val="tx1"/>
                  </w14:solidFill>
                </w14:textFill>
              </w:rPr>
              <w:t>有1</w:t>
            </w:r>
            <w:r>
              <w:rPr>
                <w:rFonts w:ascii="Calibri" w:hAnsi="Calibri"/>
                <w:color w:val="000000" w:themeColor="text1"/>
                <w:szCs w:val="21"/>
                <w:highlight w:val="none"/>
                <w14:textFill>
                  <w14:solidFill>
                    <w14:schemeClr w14:val="tx1"/>
                  </w14:solidFill>
                </w14:textFill>
              </w:rPr>
              <w:t>个</w:t>
            </w:r>
            <w:r>
              <w:rPr>
                <w:rFonts w:hint="eastAsia" w:ascii="Calibri" w:hAnsi="Calibri"/>
                <w:color w:val="000000" w:themeColor="text1"/>
                <w:szCs w:val="21"/>
                <w:highlight w:val="none"/>
                <w14:textFill>
                  <w14:solidFill>
                    <w14:schemeClr w14:val="tx1"/>
                  </w14:solidFill>
                </w14:textFill>
              </w:rPr>
              <w:t>业绩</w:t>
            </w:r>
            <w:r>
              <w:rPr>
                <w:rFonts w:ascii="Calibri" w:hAnsi="Calibri"/>
                <w:color w:val="000000" w:themeColor="text1"/>
                <w:szCs w:val="21"/>
                <w:highlight w:val="none"/>
                <w14:textFill>
                  <w14:solidFill>
                    <w14:schemeClr w14:val="tx1"/>
                  </w14:solidFill>
                </w14:textFill>
              </w:rPr>
              <w:t>得</w:t>
            </w:r>
            <w:r>
              <w:rPr>
                <w:rFonts w:hint="eastAsia" w:ascii="Calibri" w:hAnsi="Calibri"/>
                <w:color w:val="000000" w:themeColor="text1"/>
                <w:szCs w:val="21"/>
                <w:highlight w:val="none"/>
                <w14:textFill>
                  <w14:solidFill>
                    <w14:schemeClr w14:val="tx1"/>
                  </w14:solidFill>
                </w14:textFill>
              </w:rPr>
              <w:t>5</w:t>
            </w:r>
            <w:r>
              <w:rPr>
                <w:rFonts w:ascii="Calibri" w:hAnsi="Calibri"/>
                <w:color w:val="000000" w:themeColor="text1"/>
                <w:szCs w:val="21"/>
                <w:highlight w:val="none"/>
                <w14:textFill>
                  <w14:solidFill>
                    <w14:schemeClr w14:val="tx1"/>
                  </w14:solidFill>
                </w14:textFill>
              </w:rPr>
              <w:t>分，本项最高得1</w:t>
            </w:r>
            <w:r>
              <w:rPr>
                <w:rFonts w:hint="eastAsia" w:ascii="Calibri" w:hAnsi="Calibri"/>
                <w:color w:val="000000" w:themeColor="text1"/>
                <w:szCs w:val="21"/>
                <w:highlight w:val="none"/>
                <w14:textFill>
                  <w14:solidFill>
                    <w14:schemeClr w14:val="tx1"/>
                  </w14:solidFill>
                </w14:textFill>
              </w:rPr>
              <w:t>5</w:t>
            </w:r>
            <w:r>
              <w:rPr>
                <w:rFonts w:ascii="Calibri" w:hAnsi="Calibri"/>
                <w:color w:val="000000" w:themeColor="text1"/>
                <w:szCs w:val="21"/>
                <w:highlight w:val="none"/>
                <w14:textFill>
                  <w14:solidFill>
                    <w14:schemeClr w14:val="tx1"/>
                  </w14:solidFill>
                </w14:textFill>
              </w:rPr>
              <w:t>分；</w:t>
            </w:r>
          </w:p>
          <w:p w14:paraId="5C2EF3AB">
            <w:pPr>
              <w:jc w:val="left"/>
              <w:rPr>
                <w:rFonts w:ascii="Calibri" w:hAnsi="Calibri"/>
                <w:color w:val="000000" w:themeColor="text1"/>
                <w:szCs w:val="21"/>
                <w:highlight w:val="none"/>
                <w14:textFill>
                  <w14:solidFill>
                    <w14:schemeClr w14:val="tx1"/>
                  </w14:solidFill>
                </w14:textFill>
              </w:rPr>
            </w:pPr>
            <w:r>
              <w:rPr>
                <w:rFonts w:ascii="Calibri" w:hAnsi="Calibri"/>
                <w:color w:val="000000" w:themeColor="text1"/>
                <w:szCs w:val="21"/>
                <w:highlight w:val="none"/>
                <w14:textFill>
                  <w14:solidFill>
                    <w14:schemeClr w14:val="tx1"/>
                  </w14:solidFill>
                </w14:textFill>
              </w:rPr>
              <w:t>注：</w:t>
            </w:r>
            <w:r>
              <w:rPr>
                <w:rFonts w:hint="eastAsia" w:ascii="Calibri" w:hAnsi="Calibri"/>
                <w:color w:val="000000" w:themeColor="text1"/>
                <w:szCs w:val="21"/>
                <w:highlight w:val="none"/>
                <w14:textFill>
                  <w14:solidFill>
                    <w14:schemeClr w14:val="tx1"/>
                  </w14:solidFill>
                </w14:textFill>
              </w:rPr>
              <w:t>（1）</w:t>
            </w:r>
            <w:r>
              <w:rPr>
                <w:rFonts w:ascii="Calibri" w:hAnsi="Calibri"/>
                <w:color w:val="000000" w:themeColor="text1"/>
                <w:szCs w:val="21"/>
                <w:highlight w:val="none"/>
                <w14:textFill>
                  <w14:solidFill>
                    <w14:schemeClr w14:val="tx1"/>
                  </w14:solidFill>
                </w14:textFill>
              </w:rPr>
              <w:t>业绩证明材料须同时提供中标</w:t>
            </w:r>
            <w:r>
              <w:rPr>
                <w:rFonts w:hint="eastAsia" w:ascii="Calibri" w:hAnsi="Calibri"/>
                <w:color w:val="000000" w:themeColor="text1"/>
                <w:szCs w:val="21"/>
                <w:highlight w:val="none"/>
                <w:lang w:eastAsia="zh-CN"/>
                <w14:textFill>
                  <w14:solidFill>
                    <w14:schemeClr w14:val="tx1"/>
                  </w14:solidFill>
                </w14:textFill>
              </w:rPr>
              <w:t>（</w:t>
            </w:r>
            <w:r>
              <w:rPr>
                <w:rFonts w:hint="eastAsia" w:ascii="Calibri" w:hAnsi="Calibri"/>
                <w:color w:val="000000" w:themeColor="text1"/>
                <w:szCs w:val="21"/>
                <w:highlight w:val="none"/>
                <w:lang w:val="en-US" w:eastAsia="zh-CN"/>
                <w14:textFill>
                  <w14:solidFill>
                    <w14:schemeClr w14:val="tx1"/>
                  </w14:solidFill>
                </w14:textFill>
              </w:rPr>
              <w:t>成交</w:t>
            </w:r>
            <w:r>
              <w:rPr>
                <w:rFonts w:hint="eastAsia" w:ascii="Calibri" w:hAnsi="Calibri"/>
                <w:color w:val="000000" w:themeColor="text1"/>
                <w:szCs w:val="21"/>
                <w:highlight w:val="none"/>
                <w:lang w:eastAsia="zh-CN"/>
                <w14:textFill>
                  <w14:solidFill>
                    <w14:schemeClr w14:val="tx1"/>
                  </w14:solidFill>
                </w14:textFill>
              </w:rPr>
              <w:t>）</w:t>
            </w:r>
            <w:r>
              <w:rPr>
                <w:rFonts w:ascii="Calibri" w:hAnsi="Calibri"/>
                <w:color w:val="000000" w:themeColor="text1"/>
                <w:szCs w:val="21"/>
                <w:highlight w:val="none"/>
                <w14:textFill>
                  <w14:solidFill>
                    <w14:schemeClr w14:val="tx1"/>
                  </w14:solidFill>
                </w14:textFill>
              </w:rPr>
              <w:t>通知书</w:t>
            </w:r>
            <w:r>
              <w:rPr>
                <w:rFonts w:hint="eastAsia" w:ascii="Calibri" w:hAnsi="Calibri"/>
                <w:color w:val="000000" w:themeColor="text1"/>
                <w:szCs w:val="21"/>
                <w:highlight w:val="none"/>
                <w14:textFill>
                  <w14:solidFill>
                    <w14:schemeClr w14:val="tx1"/>
                  </w14:solidFill>
                </w14:textFill>
              </w:rPr>
              <w:t>、</w:t>
            </w:r>
            <w:r>
              <w:rPr>
                <w:rFonts w:ascii="Calibri" w:hAnsi="Calibri"/>
                <w:color w:val="000000" w:themeColor="text1"/>
                <w:szCs w:val="21"/>
                <w:highlight w:val="none"/>
                <w14:textFill>
                  <w14:solidFill>
                    <w14:schemeClr w14:val="tx1"/>
                  </w14:solidFill>
                </w14:textFill>
              </w:rPr>
              <w:t>施工合同</w:t>
            </w:r>
            <w:r>
              <w:rPr>
                <w:rFonts w:hint="eastAsia" w:ascii="Calibri" w:hAnsi="Calibri"/>
                <w:color w:val="000000" w:themeColor="text1"/>
                <w:szCs w:val="21"/>
                <w:highlight w:val="none"/>
                <w14:textFill>
                  <w14:solidFill>
                    <w14:schemeClr w14:val="tx1"/>
                  </w14:solidFill>
                </w14:textFill>
              </w:rPr>
              <w:t>和交/竣工验收报告</w:t>
            </w:r>
            <w:r>
              <w:rPr>
                <w:rFonts w:ascii="Calibri" w:hAnsi="Calibri"/>
                <w:color w:val="000000" w:themeColor="text1"/>
                <w:szCs w:val="21"/>
                <w:highlight w:val="none"/>
                <w14:textFill>
                  <w14:solidFill>
                    <w14:schemeClr w14:val="tx1"/>
                  </w14:solidFill>
                </w14:textFill>
              </w:rPr>
              <w:t>，否则不予认可</w:t>
            </w:r>
            <w:r>
              <w:rPr>
                <w:rFonts w:hint="eastAsia" w:ascii="Calibri" w:hAnsi="Calibri"/>
                <w:color w:val="000000" w:themeColor="text1"/>
                <w:szCs w:val="21"/>
                <w:highlight w:val="none"/>
                <w14:textFill>
                  <w14:solidFill>
                    <w14:schemeClr w14:val="tx1"/>
                  </w14:solidFill>
                </w14:textFill>
              </w:rPr>
              <w:t>；（2）</w:t>
            </w:r>
            <w:r>
              <w:rPr>
                <w:rFonts w:ascii="Calibri" w:hAnsi="Calibri"/>
                <w:color w:val="000000" w:themeColor="text1"/>
                <w:szCs w:val="21"/>
                <w:highlight w:val="none"/>
                <w14:textFill>
                  <w14:solidFill>
                    <w14:schemeClr w14:val="tx1"/>
                  </w14:solidFill>
                </w14:textFill>
              </w:rPr>
              <w:t>业绩证明材料</w:t>
            </w:r>
            <w:r>
              <w:rPr>
                <w:rFonts w:hint="eastAsia" w:ascii="Calibri" w:hAnsi="Calibri"/>
                <w:color w:val="000000" w:themeColor="text1"/>
                <w:szCs w:val="21"/>
                <w:highlight w:val="none"/>
                <w14:textFill>
                  <w14:solidFill>
                    <w14:schemeClr w14:val="tx1"/>
                  </w14:solidFill>
                </w14:textFill>
              </w:rPr>
              <w:t>须</w:t>
            </w:r>
            <w:r>
              <w:rPr>
                <w:rFonts w:ascii="Calibri" w:hAnsi="Calibri"/>
                <w:color w:val="000000" w:themeColor="text1"/>
                <w:szCs w:val="21"/>
                <w:highlight w:val="none"/>
                <w14:textFill>
                  <w14:solidFill>
                    <w14:schemeClr w14:val="tx1"/>
                  </w14:solidFill>
                </w14:textFill>
              </w:rPr>
              <w:t>能够明确反映出供应商名称、施工内容、合同签订</w:t>
            </w:r>
            <w:r>
              <w:rPr>
                <w:rFonts w:hint="eastAsia" w:ascii="Calibri" w:hAnsi="Calibri"/>
                <w:color w:val="000000" w:themeColor="text1"/>
                <w:szCs w:val="21"/>
                <w:highlight w:val="none"/>
                <w14:textFill>
                  <w14:solidFill>
                    <w14:schemeClr w14:val="tx1"/>
                  </w14:solidFill>
                </w14:textFill>
              </w:rPr>
              <w:t>和交/竣工信息</w:t>
            </w:r>
            <w:r>
              <w:rPr>
                <w:rFonts w:ascii="Calibri" w:hAnsi="Calibri"/>
                <w:color w:val="000000" w:themeColor="text1"/>
                <w:szCs w:val="21"/>
                <w:highlight w:val="none"/>
                <w14:textFill>
                  <w14:solidFill>
                    <w14:schemeClr w14:val="tx1"/>
                  </w14:solidFill>
                </w14:textFill>
              </w:rPr>
              <w:t>等，凡因投标人提供的信息不全面、不准确或其他任何原因，导致评委会无法辨认的，均不予认可</w:t>
            </w:r>
            <w:r>
              <w:rPr>
                <w:rFonts w:hint="eastAsia" w:ascii="Calibri" w:hAnsi="Calibri"/>
                <w:color w:val="000000" w:themeColor="text1"/>
                <w:szCs w:val="21"/>
                <w:highlight w:val="none"/>
                <w14:textFill>
                  <w14:solidFill>
                    <w14:schemeClr w14:val="tx1"/>
                  </w14:solidFill>
                </w14:textFill>
              </w:rPr>
              <w:t>；（3）</w:t>
            </w:r>
            <w:r>
              <w:rPr>
                <w:rFonts w:ascii="Calibri" w:hAnsi="Calibri"/>
                <w:color w:val="000000" w:themeColor="text1"/>
                <w:szCs w:val="21"/>
                <w:highlight w:val="none"/>
                <w14:textFill>
                  <w14:solidFill>
                    <w14:schemeClr w14:val="tx1"/>
                  </w14:solidFill>
                </w14:textFill>
              </w:rPr>
              <w:t>中标（成交）人提供的业绩将随中标（成交）结果同步公开。</w:t>
            </w:r>
          </w:p>
        </w:tc>
      </w:tr>
      <w:tr w14:paraId="566CA6E5">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1204" w:type="dxa"/>
            <w:vMerge w:val="continue"/>
            <w:noWrap/>
            <w:vAlign w:val="center"/>
          </w:tcPr>
          <w:p w14:paraId="29EE319A">
            <w:pPr>
              <w:jc w:val="left"/>
              <w:rPr>
                <w:rFonts w:ascii="Calibri" w:hAnsi="Calibri"/>
                <w:color w:val="000000" w:themeColor="text1"/>
                <w:highlight w:val="none"/>
                <w14:textFill>
                  <w14:solidFill>
                    <w14:schemeClr w14:val="tx1"/>
                  </w14:solidFill>
                </w14:textFill>
              </w:rPr>
            </w:pPr>
          </w:p>
        </w:tc>
        <w:tc>
          <w:tcPr>
            <w:tcW w:w="3297" w:type="dxa"/>
            <w:noWrap/>
            <w:vAlign w:val="center"/>
          </w:tcPr>
          <w:p w14:paraId="4607FAC7">
            <w:pPr>
              <w:jc w:val="left"/>
              <w:rPr>
                <w:rFonts w:ascii="Calibri" w:hAnsi="Calibri"/>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项目负责人业绩</w:t>
            </w:r>
          </w:p>
        </w:tc>
        <w:tc>
          <w:tcPr>
            <w:tcW w:w="1175" w:type="dxa"/>
            <w:noWrap/>
            <w:vAlign w:val="center"/>
          </w:tcPr>
          <w:p w14:paraId="76D1515D">
            <w:pPr>
              <w:jc w:val="center"/>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12.</w:t>
            </w:r>
            <w:r>
              <w:rPr>
                <w:rFonts w:ascii="Calibri" w:hAnsi="Calibri"/>
                <w:color w:val="000000" w:themeColor="text1"/>
                <w:szCs w:val="21"/>
                <w:highlight w:val="none"/>
                <w14:textFill>
                  <w14:solidFill>
                    <w14:schemeClr w14:val="tx1"/>
                  </w14:solidFill>
                </w14:textFill>
              </w:rPr>
              <w:t>00</w:t>
            </w:r>
          </w:p>
        </w:tc>
        <w:tc>
          <w:tcPr>
            <w:tcW w:w="4714" w:type="dxa"/>
            <w:noWrap/>
            <w:vAlign w:val="center"/>
          </w:tcPr>
          <w:p w14:paraId="54EC1C29">
            <w:pPr>
              <w:numPr>
                <w:ilvl w:val="0"/>
                <w:numId w:val="7"/>
              </w:numPr>
              <w:jc w:val="left"/>
              <w:rPr>
                <w:color w:val="000000" w:themeColor="text1"/>
                <w:szCs w:val="21"/>
                <w:highlight w:val="none"/>
                <w14:textFill>
                  <w14:solidFill>
                    <w14:schemeClr w14:val="tx1"/>
                  </w14:solidFill>
                </w14:textFill>
              </w:rPr>
            </w:pPr>
            <w:r>
              <w:rPr>
                <w:rFonts w:ascii="Calibri" w:hAnsi="Calibri"/>
                <w:color w:val="000000" w:themeColor="text1"/>
                <w:szCs w:val="21"/>
                <w:highlight w:val="none"/>
                <w14:textFill>
                  <w14:solidFill>
                    <w14:schemeClr w14:val="tx1"/>
                  </w14:solidFill>
                </w14:textFill>
              </w:rPr>
              <w:t>项目负责人</w:t>
            </w:r>
            <w:r>
              <w:rPr>
                <w:rFonts w:hint="eastAsia" w:ascii="Calibri" w:hAnsi="Calibri"/>
                <w:color w:val="000000" w:themeColor="text1"/>
                <w:szCs w:val="21"/>
                <w:highlight w:val="none"/>
                <w14:textFill>
                  <w14:solidFill>
                    <w14:schemeClr w14:val="tx1"/>
                  </w14:solidFill>
                </w14:textFill>
              </w:rPr>
              <w:t>自</w:t>
            </w:r>
            <w:r>
              <w:rPr>
                <w:rFonts w:ascii="Calibri" w:hAnsi="Calibri"/>
                <w:color w:val="000000" w:themeColor="text1"/>
                <w:szCs w:val="21"/>
                <w:highlight w:val="none"/>
                <w14:textFill>
                  <w14:solidFill>
                    <w14:schemeClr w14:val="tx1"/>
                  </w14:solidFill>
                </w14:textFill>
              </w:rPr>
              <w:t>20</w:t>
            </w:r>
            <w:r>
              <w:rPr>
                <w:rFonts w:hint="eastAsia" w:ascii="Calibri" w:hAnsi="Calibri"/>
                <w:color w:val="000000" w:themeColor="text1"/>
                <w:szCs w:val="21"/>
                <w:highlight w:val="none"/>
                <w14:textFill>
                  <w14:solidFill>
                    <w14:schemeClr w14:val="tx1"/>
                  </w14:solidFill>
                </w14:textFill>
              </w:rPr>
              <w:t>20</w:t>
            </w:r>
            <w:r>
              <w:rPr>
                <w:rFonts w:ascii="Calibri" w:hAnsi="Calibri"/>
                <w:color w:val="000000" w:themeColor="text1"/>
                <w:szCs w:val="21"/>
                <w:highlight w:val="none"/>
                <w14:textFill>
                  <w14:solidFill>
                    <w14:schemeClr w14:val="tx1"/>
                  </w14:solidFill>
                </w14:textFill>
              </w:rPr>
              <w:t>年1月1日以来（以</w:t>
            </w:r>
            <w:r>
              <w:rPr>
                <w:rFonts w:hint="eastAsia" w:ascii="Calibri" w:hAnsi="Calibri"/>
                <w:color w:val="000000" w:themeColor="text1"/>
                <w:szCs w:val="21"/>
                <w:highlight w:val="none"/>
                <w14:textFill>
                  <w14:solidFill>
                    <w14:schemeClr w14:val="tx1"/>
                  </w14:solidFill>
                </w14:textFill>
              </w:rPr>
              <w:t>交/竣工</w:t>
            </w:r>
            <w:r>
              <w:rPr>
                <w:rFonts w:ascii="Calibri" w:hAnsi="Calibri"/>
                <w:color w:val="000000" w:themeColor="text1"/>
                <w:szCs w:val="21"/>
                <w:highlight w:val="none"/>
                <w14:textFill>
                  <w14:solidFill>
                    <w14:schemeClr w14:val="tx1"/>
                  </w14:solidFill>
                </w14:textFill>
              </w:rPr>
              <w:t>时间为准），</w:t>
            </w:r>
            <w:r>
              <w:rPr>
                <w:rFonts w:hint="eastAsia"/>
                <w:color w:val="000000" w:themeColor="text1"/>
                <w:szCs w:val="21"/>
                <w:highlight w:val="none"/>
                <w14:textFill>
                  <w14:solidFill>
                    <w14:schemeClr w14:val="tx1"/>
                  </w14:solidFill>
                </w14:textFill>
              </w:rPr>
              <w:t>担任过类似项目的项目经理或项目总工</w:t>
            </w:r>
            <w:r>
              <w:rPr>
                <w:rFonts w:ascii="Calibri" w:hAnsi="Calibri"/>
                <w:color w:val="000000" w:themeColor="text1"/>
                <w:szCs w:val="21"/>
                <w:highlight w:val="none"/>
                <w14:textFill>
                  <w14:solidFill>
                    <w14:schemeClr w14:val="tx1"/>
                  </w14:solidFill>
                </w14:textFill>
              </w:rPr>
              <w:t>，每</w:t>
            </w:r>
            <w:r>
              <w:rPr>
                <w:rFonts w:hint="eastAsia" w:ascii="Calibri" w:hAnsi="Calibri"/>
                <w:color w:val="000000" w:themeColor="text1"/>
                <w:szCs w:val="21"/>
                <w:highlight w:val="none"/>
                <w14:textFill>
                  <w14:solidFill>
                    <w14:schemeClr w14:val="tx1"/>
                  </w14:solidFill>
                </w14:textFill>
              </w:rPr>
              <w:t>有1</w:t>
            </w:r>
            <w:r>
              <w:rPr>
                <w:rFonts w:ascii="Calibri" w:hAnsi="Calibri"/>
                <w:color w:val="000000" w:themeColor="text1"/>
                <w:szCs w:val="21"/>
                <w:highlight w:val="none"/>
                <w14:textFill>
                  <w14:solidFill>
                    <w14:schemeClr w14:val="tx1"/>
                  </w14:solidFill>
                </w14:textFill>
              </w:rPr>
              <w:t>个</w:t>
            </w:r>
            <w:r>
              <w:rPr>
                <w:rFonts w:hint="eastAsia" w:ascii="Calibri" w:hAnsi="Calibri"/>
                <w:color w:val="000000" w:themeColor="text1"/>
                <w:szCs w:val="21"/>
                <w:highlight w:val="none"/>
                <w14:textFill>
                  <w14:solidFill>
                    <w14:schemeClr w14:val="tx1"/>
                  </w14:solidFill>
                </w14:textFill>
              </w:rPr>
              <w:t>业绩</w:t>
            </w:r>
            <w:r>
              <w:rPr>
                <w:rFonts w:ascii="Calibri" w:hAnsi="Calibri"/>
                <w:color w:val="000000" w:themeColor="text1"/>
                <w:szCs w:val="21"/>
                <w:highlight w:val="none"/>
                <w14:textFill>
                  <w14:solidFill>
                    <w14:schemeClr w14:val="tx1"/>
                  </w14:solidFill>
                </w14:textFill>
              </w:rPr>
              <w:t>得</w:t>
            </w:r>
            <w:r>
              <w:rPr>
                <w:rFonts w:hint="eastAsia" w:ascii="Calibri" w:hAnsi="Calibri"/>
                <w:color w:val="000000" w:themeColor="text1"/>
                <w:szCs w:val="21"/>
                <w:highlight w:val="none"/>
                <w14:textFill>
                  <w14:solidFill>
                    <w14:schemeClr w14:val="tx1"/>
                  </w14:solidFill>
                </w14:textFill>
              </w:rPr>
              <w:t>6</w:t>
            </w:r>
            <w:r>
              <w:rPr>
                <w:rFonts w:ascii="Calibri" w:hAnsi="Calibri"/>
                <w:color w:val="000000" w:themeColor="text1"/>
                <w:szCs w:val="21"/>
                <w:highlight w:val="none"/>
                <w14:textFill>
                  <w14:solidFill>
                    <w14:schemeClr w14:val="tx1"/>
                  </w14:solidFill>
                </w14:textFill>
              </w:rPr>
              <w:t>分，本项最高得</w:t>
            </w:r>
            <w:r>
              <w:rPr>
                <w:rFonts w:hint="eastAsia" w:ascii="Calibri" w:hAnsi="Calibri"/>
                <w:color w:val="000000" w:themeColor="text1"/>
                <w:szCs w:val="21"/>
                <w:highlight w:val="none"/>
                <w14:textFill>
                  <w14:solidFill>
                    <w14:schemeClr w14:val="tx1"/>
                  </w14:solidFill>
                </w14:textFill>
              </w:rPr>
              <w:t>12</w:t>
            </w:r>
            <w:r>
              <w:rPr>
                <w:rFonts w:ascii="Calibri" w:hAnsi="Calibri"/>
                <w:color w:val="000000" w:themeColor="text1"/>
                <w:szCs w:val="21"/>
                <w:highlight w:val="none"/>
                <w14:textFill>
                  <w14:solidFill>
                    <w14:schemeClr w14:val="tx1"/>
                  </w14:solidFill>
                </w14:textFill>
              </w:rPr>
              <w:t>分。</w:t>
            </w:r>
          </w:p>
          <w:p w14:paraId="6D690118">
            <w:pPr>
              <w:pStyle w:val="5"/>
              <w:ind w:firstLine="0" w:firstLineChars="0"/>
              <w:rPr>
                <w:rFonts w:ascii="Calibri" w:hAnsi="Calibri"/>
                <w:color w:val="000000" w:themeColor="text1"/>
                <w:sz w:val="21"/>
                <w:szCs w:val="21"/>
                <w:highlight w:val="none"/>
                <w14:textFill>
                  <w14:solidFill>
                    <w14:schemeClr w14:val="tx1"/>
                  </w14:solidFill>
                </w14:textFill>
              </w:rPr>
            </w:pPr>
            <w:r>
              <w:rPr>
                <w:rFonts w:ascii="Calibri" w:hAnsi="Calibri"/>
                <w:color w:val="000000" w:themeColor="text1"/>
                <w:sz w:val="21"/>
                <w:szCs w:val="21"/>
                <w:highlight w:val="none"/>
                <w14:textFill>
                  <w14:solidFill>
                    <w14:schemeClr w14:val="tx1"/>
                  </w14:solidFill>
                </w14:textFill>
              </w:rPr>
              <w:t>注：</w:t>
            </w:r>
            <w:r>
              <w:rPr>
                <w:rFonts w:hint="eastAsia" w:ascii="Calibri" w:hAnsi="Calibri"/>
                <w:color w:val="000000" w:themeColor="text1"/>
                <w:sz w:val="21"/>
                <w:szCs w:val="21"/>
                <w:highlight w:val="none"/>
                <w14:textFill>
                  <w14:solidFill>
                    <w14:schemeClr w14:val="tx1"/>
                  </w14:solidFill>
                </w14:textFill>
              </w:rPr>
              <w:t>（1）</w:t>
            </w:r>
            <w:r>
              <w:rPr>
                <w:rFonts w:ascii="Calibri" w:hAnsi="Calibri"/>
                <w:color w:val="000000" w:themeColor="text1"/>
                <w:sz w:val="21"/>
                <w:szCs w:val="21"/>
                <w:highlight w:val="none"/>
                <w14:textFill>
                  <w14:solidFill>
                    <w14:schemeClr w14:val="tx1"/>
                  </w14:solidFill>
                </w14:textFill>
              </w:rPr>
              <w:t>业绩证明材料须同时提供中标</w:t>
            </w:r>
            <w:r>
              <w:rPr>
                <w:rFonts w:hint="eastAsia" w:ascii="Calibri" w:hAnsi="Calibri"/>
                <w:color w:val="000000" w:themeColor="text1"/>
                <w:sz w:val="21"/>
                <w:szCs w:val="21"/>
                <w:highlight w:val="none"/>
                <w:lang w:eastAsia="zh-CN"/>
                <w14:textFill>
                  <w14:solidFill>
                    <w14:schemeClr w14:val="tx1"/>
                  </w14:solidFill>
                </w14:textFill>
              </w:rPr>
              <w:t>（</w:t>
            </w:r>
            <w:r>
              <w:rPr>
                <w:rFonts w:hint="eastAsia" w:ascii="Calibri" w:hAnsi="Calibri"/>
                <w:color w:val="000000" w:themeColor="text1"/>
                <w:sz w:val="21"/>
                <w:szCs w:val="21"/>
                <w:highlight w:val="none"/>
                <w:lang w:val="en-US" w:eastAsia="zh-CN"/>
                <w14:textFill>
                  <w14:solidFill>
                    <w14:schemeClr w14:val="tx1"/>
                  </w14:solidFill>
                </w14:textFill>
              </w:rPr>
              <w:t>成交</w:t>
            </w:r>
            <w:r>
              <w:rPr>
                <w:rFonts w:hint="eastAsia" w:ascii="Calibri" w:hAnsi="Calibri"/>
                <w:color w:val="000000" w:themeColor="text1"/>
                <w:sz w:val="21"/>
                <w:szCs w:val="21"/>
                <w:highlight w:val="none"/>
                <w:lang w:eastAsia="zh-CN"/>
                <w14:textFill>
                  <w14:solidFill>
                    <w14:schemeClr w14:val="tx1"/>
                  </w14:solidFill>
                </w14:textFill>
              </w:rPr>
              <w:t>）</w:t>
            </w:r>
            <w:r>
              <w:rPr>
                <w:rFonts w:ascii="Calibri" w:hAnsi="Calibri"/>
                <w:color w:val="000000" w:themeColor="text1"/>
                <w:sz w:val="21"/>
                <w:szCs w:val="21"/>
                <w:highlight w:val="none"/>
                <w14:textFill>
                  <w14:solidFill>
                    <w14:schemeClr w14:val="tx1"/>
                  </w14:solidFill>
                </w14:textFill>
              </w:rPr>
              <w:t>通知书</w:t>
            </w:r>
            <w:r>
              <w:rPr>
                <w:rFonts w:hint="eastAsia" w:ascii="Calibri" w:hAnsi="Calibri"/>
                <w:color w:val="000000" w:themeColor="text1"/>
                <w:sz w:val="21"/>
                <w:szCs w:val="21"/>
                <w:highlight w:val="none"/>
                <w14:textFill>
                  <w14:solidFill>
                    <w14:schemeClr w14:val="tx1"/>
                  </w14:solidFill>
                </w14:textFill>
              </w:rPr>
              <w:t>、</w:t>
            </w:r>
            <w:r>
              <w:rPr>
                <w:rFonts w:ascii="Calibri" w:hAnsi="Calibri"/>
                <w:color w:val="000000" w:themeColor="text1"/>
                <w:sz w:val="21"/>
                <w:szCs w:val="21"/>
                <w:highlight w:val="none"/>
                <w14:textFill>
                  <w14:solidFill>
                    <w14:schemeClr w14:val="tx1"/>
                  </w14:solidFill>
                </w14:textFill>
              </w:rPr>
              <w:t>施工合同</w:t>
            </w:r>
            <w:r>
              <w:rPr>
                <w:rFonts w:hint="eastAsia" w:ascii="Calibri" w:hAnsi="Calibri"/>
                <w:color w:val="000000" w:themeColor="text1"/>
                <w:sz w:val="21"/>
                <w:szCs w:val="21"/>
                <w:highlight w:val="none"/>
                <w14:textFill>
                  <w14:solidFill>
                    <w14:schemeClr w14:val="tx1"/>
                  </w14:solidFill>
                </w14:textFill>
              </w:rPr>
              <w:t>和交/竣工验收报告</w:t>
            </w:r>
            <w:r>
              <w:rPr>
                <w:rFonts w:ascii="Calibri" w:hAnsi="Calibri"/>
                <w:color w:val="000000" w:themeColor="text1"/>
                <w:sz w:val="21"/>
                <w:szCs w:val="21"/>
                <w:highlight w:val="none"/>
                <w14:textFill>
                  <w14:solidFill>
                    <w14:schemeClr w14:val="tx1"/>
                  </w14:solidFill>
                </w14:textFill>
              </w:rPr>
              <w:t>，否则不予认可</w:t>
            </w:r>
            <w:r>
              <w:rPr>
                <w:rFonts w:hint="eastAsia" w:ascii="Calibri" w:hAnsi="Calibri"/>
                <w:color w:val="000000" w:themeColor="text1"/>
                <w:sz w:val="21"/>
                <w:szCs w:val="21"/>
                <w:highlight w:val="none"/>
                <w14:textFill>
                  <w14:solidFill>
                    <w14:schemeClr w14:val="tx1"/>
                  </w14:solidFill>
                </w14:textFill>
              </w:rPr>
              <w:t>；（2）</w:t>
            </w:r>
            <w:r>
              <w:rPr>
                <w:rFonts w:ascii="Calibri" w:hAnsi="Calibri"/>
                <w:color w:val="000000" w:themeColor="text1"/>
                <w:sz w:val="21"/>
                <w:szCs w:val="21"/>
                <w:highlight w:val="none"/>
                <w14:textFill>
                  <w14:solidFill>
                    <w14:schemeClr w14:val="tx1"/>
                  </w14:solidFill>
                </w14:textFill>
              </w:rPr>
              <w:t>业绩证明材料</w:t>
            </w:r>
            <w:r>
              <w:rPr>
                <w:rFonts w:hint="eastAsia" w:ascii="Calibri" w:hAnsi="Calibri"/>
                <w:color w:val="000000" w:themeColor="text1"/>
                <w:sz w:val="21"/>
                <w:szCs w:val="21"/>
                <w:highlight w:val="none"/>
                <w14:textFill>
                  <w14:solidFill>
                    <w14:schemeClr w14:val="tx1"/>
                  </w14:solidFill>
                </w14:textFill>
              </w:rPr>
              <w:t>须</w:t>
            </w:r>
            <w:r>
              <w:rPr>
                <w:rFonts w:ascii="Calibri" w:hAnsi="Calibri"/>
                <w:color w:val="000000" w:themeColor="text1"/>
                <w:sz w:val="21"/>
                <w:szCs w:val="21"/>
                <w:highlight w:val="none"/>
                <w14:textFill>
                  <w14:solidFill>
                    <w14:schemeClr w14:val="tx1"/>
                  </w14:solidFill>
                </w14:textFill>
              </w:rPr>
              <w:t>能够明确反映出供应商名称、施工内容、项目负责人姓名、合同签订</w:t>
            </w:r>
            <w:r>
              <w:rPr>
                <w:rFonts w:hint="eastAsia" w:ascii="Calibri" w:hAnsi="Calibri"/>
                <w:color w:val="000000" w:themeColor="text1"/>
                <w:sz w:val="21"/>
                <w:szCs w:val="21"/>
                <w:highlight w:val="none"/>
                <w14:textFill>
                  <w14:solidFill>
                    <w14:schemeClr w14:val="tx1"/>
                  </w14:solidFill>
                </w14:textFill>
              </w:rPr>
              <w:t>和交/竣工信息</w:t>
            </w:r>
            <w:r>
              <w:rPr>
                <w:rFonts w:ascii="Calibri" w:hAnsi="Calibri"/>
                <w:color w:val="000000" w:themeColor="text1"/>
                <w:sz w:val="21"/>
                <w:szCs w:val="21"/>
                <w:highlight w:val="none"/>
                <w14:textFill>
                  <w14:solidFill>
                    <w14:schemeClr w14:val="tx1"/>
                  </w14:solidFill>
                </w14:textFill>
              </w:rPr>
              <w:t>等，凡因投标人提供的信息不全面、不准确或其他任何原因，导致评委会无法辨认的，均不予认可</w:t>
            </w:r>
            <w:r>
              <w:rPr>
                <w:rFonts w:hint="eastAsia" w:ascii="Calibri" w:hAnsi="Calibri"/>
                <w:color w:val="000000" w:themeColor="text1"/>
                <w:sz w:val="21"/>
                <w:szCs w:val="21"/>
                <w:highlight w:val="none"/>
                <w14:textFill>
                  <w14:solidFill>
                    <w14:schemeClr w14:val="tx1"/>
                  </w14:solidFill>
                </w14:textFill>
              </w:rPr>
              <w:t>；（3）须提供相关证书材料的原件电子件，否则不予加分；（4）</w:t>
            </w:r>
            <w:r>
              <w:rPr>
                <w:rFonts w:ascii="Calibri" w:hAnsi="Calibri"/>
                <w:color w:val="000000" w:themeColor="text1"/>
                <w:sz w:val="21"/>
                <w:szCs w:val="21"/>
                <w:highlight w:val="none"/>
                <w14:textFill>
                  <w14:solidFill>
                    <w14:schemeClr w14:val="tx1"/>
                  </w14:solidFill>
                </w14:textFill>
              </w:rPr>
              <w:t>中标（成交）人提供的业绩将随中标（成交）结果同步公开。</w:t>
            </w:r>
          </w:p>
        </w:tc>
      </w:tr>
      <w:tr w14:paraId="6029D50B">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248" w:hRule="atLeast"/>
        </w:trPr>
        <w:tc>
          <w:tcPr>
            <w:tcW w:w="1204" w:type="dxa"/>
            <w:vMerge w:val="continue"/>
            <w:noWrap/>
            <w:vAlign w:val="center"/>
          </w:tcPr>
          <w:p w14:paraId="761A69C2">
            <w:pPr>
              <w:jc w:val="left"/>
              <w:rPr>
                <w:rFonts w:ascii="Calibri" w:hAnsi="Calibri"/>
                <w:color w:val="000000" w:themeColor="text1"/>
                <w:highlight w:val="none"/>
                <w14:textFill>
                  <w14:solidFill>
                    <w14:schemeClr w14:val="tx1"/>
                  </w14:solidFill>
                </w14:textFill>
              </w:rPr>
            </w:pPr>
          </w:p>
        </w:tc>
        <w:tc>
          <w:tcPr>
            <w:tcW w:w="3297" w:type="dxa"/>
            <w:noWrap/>
            <w:vAlign w:val="center"/>
          </w:tcPr>
          <w:p w14:paraId="12D934F7">
            <w:pPr>
              <w:jc w:val="left"/>
              <w:rPr>
                <w:rFonts w:ascii="Calibri" w:hAnsi="Calibri"/>
                <w:color w:val="000000" w:themeColor="text1"/>
                <w:highlight w:val="none"/>
                <w14:textFill>
                  <w14:solidFill>
                    <w14:schemeClr w14:val="tx1"/>
                  </w14:solidFill>
                </w14:textFill>
              </w:rPr>
            </w:pPr>
            <w:r>
              <w:rPr>
                <w:rFonts w:hint="eastAsia" w:ascii="Calibri" w:hAnsi="Calibri"/>
                <w:color w:val="000000" w:themeColor="text1"/>
                <w:highlight w:val="none"/>
                <w14:textFill>
                  <w14:solidFill>
                    <w14:schemeClr w14:val="tx1"/>
                  </w14:solidFill>
                </w14:textFill>
              </w:rPr>
              <w:t>其他人员</w:t>
            </w:r>
          </w:p>
        </w:tc>
        <w:tc>
          <w:tcPr>
            <w:tcW w:w="1175" w:type="dxa"/>
            <w:noWrap/>
            <w:vAlign w:val="center"/>
          </w:tcPr>
          <w:p w14:paraId="0383436C">
            <w:pPr>
              <w:jc w:val="center"/>
              <w:rPr>
                <w:rFonts w:ascii="Calibri" w:hAnsi="Calibri"/>
                <w:color w:val="000000" w:themeColor="text1"/>
                <w:highlight w:val="none"/>
                <w14:textFill>
                  <w14:solidFill>
                    <w14:schemeClr w14:val="tx1"/>
                  </w14:solidFill>
                </w14:textFill>
              </w:rPr>
            </w:pPr>
            <w:r>
              <w:rPr>
                <w:rFonts w:hint="eastAsia" w:ascii="Calibri" w:hAnsi="Calibri"/>
                <w:color w:val="000000" w:themeColor="text1"/>
                <w:highlight w:val="none"/>
                <w14:textFill>
                  <w14:solidFill>
                    <w14:schemeClr w14:val="tx1"/>
                  </w14:solidFill>
                </w14:textFill>
              </w:rPr>
              <w:t>2.00</w:t>
            </w:r>
          </w:p>
        </w:tc>
        <w:tc>
          <w:tcPr>
            <w:tcW w:w="4714" w:type="dxa"/>
            <w:noWrap/>
            <w:vAlign w:val="center"/>
          </w:tcPr>
          <w:p w14:paraId="26F7AA46">
            <w:pPr>
              <w:jc w:val="left"/>
              <w:rPr>
                <w:color w:val="000000" w:themeColor="text1"/>
                <w:highlight w:val="none"/>
                <w14:textFill>
                  <w14:solidFill>
                    <w14:schemeClr w14:val="tx1"/>
                  </w14:solidFill>
                </w14:textFill>
              </w:rPr>
            </w:pPr>
            <w:r>
              <w:rPr>
                <w:rFonts w:hint="eastAsia" w:ascii="Calibri" w:hAnsi="Calibri"/>
                <w:color w:val="000000" w:themeColor="text1"/>
                <w:highlight w:val="none"/>
                <w14:textFill>
                  <w14:solidFill>
                    <w14:schemeClr w14:val="tx1"/>
                  </w14:solidFill>
                </w14:textFill>
              </w:rPr>
              <w:t>技术</w:t>
            </w:r>
            <w:r>
              <w:rPr>
                <w:rFonts w:ascii="Calibri" w:hAnsi="Calibri"/>
                <w:color w:val="000000" w:themeColor="text1"/>
                <w:highlight w:val="none"/>
                <w14:textFill>
                  <w14:solidFill>
                    <w14:schemeClr w14:val="tx1"/>
                  </w14:solidFill>
                </w14:textFill>
              </w:rPr>
              <w:t>负责人</w:t>
            </w:r>
            <w:r>
              <w:rPr>
                <w:rFonts w:hint="eastAsia" w:ascii="Calibri" w:hAnsi="Calibri"/>
                <w:color w:val="000000" w:themeColor="text1"/>
                <w:highlight w:val="none"/>
                <w14:textFill>
                  <w14:solidFill>
                    <w14:schemeClr w14:val="tx1"/>
                  </w14:solidFill>
                </w14:textFill>
              </w:rPr>
              <w:t>具有高级工程师及以上技术职称的得2分，本项最高得2分；</w:t>
            </w:r>
          </w:p>
          <w:p w14:paraId="74711C66">
            <w:pPr>
              <w:jc w:val="left"/>
              <w:rPr>
                <w:rFonts w:ascii="Calibri" w:hAnsi="Calibri"/>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注：</w:t>
            </w:r>
            <w:r>
              <w:rPr>
                <w:rFonts w:hint="eastAsia" w:ascii="Calibri" w:hAnsi="Calibri"/>
                <w:color w:val="000000" w:themeColor="text1"/>
                <w:highlight w:val="none"/>
                <w14:textFill>
                  <w14:solidFill>
                    <w14:schemeClr w14:val="tx1"/>
                  </w14:solidFill>
                </w14:textFill>
              </w:rPr>
              <w:t>（1）</w:t>
            </w:r>
            <w:r>
              <w:rPr>
                <w:rFonts w:ascii="Calibri" w:hAnsi="Calibri"/>
                <w:color w:val="000000" w:themeColor="text1"/>
                <w:highlight w:val="none"/>
                <w14:textFill>
                  <w14:solidFill>
                    <w14:schemeClr w14:val="tx1"/>
                  </w14:solidFill>
                </w14:textFill>
              </w:rPr>
              <w:t>须提供相关证书材料的原件</w:t>
            </w:r>
            <w:r>
              <w:rPr>
                <w:rFonts w:hint="eastAsia" w:ascii="Calibri" w:hAnsi="Calibri"/>
                <w:color w:val="000000" w:themeColor="text1"/>
                <w:highlight w:val="none"/>
                <w14:textFill>
                  <w14:solidFill>
                    <w14:schemeClr w14:val="tx1"/>
                  </w14:solidFill>
                </w14:textFill>
              </w:rPr>
              <w:t>电子件，</w:t>
            </w:r>
            <w:r>
              <w:rPr>
                <w:rFonts w:ascii="Calibri" w:hAnsi="Calibri"/>
                <w:color w:val="000000" w:themeColor="text1"/>
                <w:highlight w:val="none"/>
                <w14:textFill>
                  <w14:solidFill>
                    <w14:schemeClr w14:val="tx1"/>
                  </w14:solidFill>
                </w14:textFill>
              </w:rPr>
              <w:t>否则不予加分</w:t>
            </w:r>
            <w:r>
              <w:rPr>
                <w:rFonts w:hint="eastAsia" w:ascii="Calibri" w:hAnsi="Calibri"/>
                <w:color w:val="000000" w:themeColor="text1"/>
                <w:highlight w:val="none"/>
                <w14:textFill>
                  <w14:solidFill>
                    <w14:schemeClr w14:val="tx1"/>
                  </w14:solidFill>
                </w14:textFill>
              </w:rPr>
              <w:t>；（2）须在响应文件中提供磋商前6个月内本单位为其办理的任意一个月社会养老保险或医疗保险缴纳证明。</w:t>
            </w:r>
          </w:p>
        </w:tc>
      </w:tr>
      <w:tr w14:paraId="2C1DFF05">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1204" w:type="dxa"/>
            <w:vMerge w:val="continue"/>
            <w:noWrap/>
            <w:vAlign w:val="center"/>
          </w:tcPr>
          <w:p w14:paraId="62C2908E">
            <w:pPr>
              <w:jc w:val="left"/>
              <w:rPr>
                <w:rFonts w:ascii="Calibri" w:hAnsi="Calibri"/>
                <w:color w:val="000000" w:themeColor="text1"/>
                <w:highlight w:val="none"/>
                <w14:textFill>
                  <w14:solidFill>
                    <w14:schemeClr w14:val="tx1"/>
                  </w14:solidFill>
                </w14:textFill>
              </w:rPr>
            </w:pPr>
          </w:p>
        </w:tc>
        <w:tc>
          <w:tcPr>
            <w:tcW w:w="3297" w:type="dxa"/>
            <w:noWrap/>
            <w:vAlign w:val="center"/>
          </w:tcPr>
          <w:p w14:paraId="5EF47B4F">
            <w:pPr>
              <w:spacing w:line="400" w:lineRule="exact"/>
              <w:jc w:val="left"/>
              <w:rPr>
                <w:rFonts w:ascii="Calibri" w:hAnsi="Calibri"/>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环境标志产品</w:t>
            </w:r>
          </w:p>
        </w:tc>
        <w:tc>
          <w:tcPr>
            <w:tcW w:w="1175" w:type="dxa"/>
            <w:noWrap/>
            <w:vAlign w:val="center"/>
          </w:tcPr>
          <w:p w14:paraId="0649F112">
            <w:pPr>
              <w:spacing w:line="400" w:lineRule="exact"/>
              <w:jc w:val="center"/>
              <w:rPr>
                <w:rFonts w:ascii="Calibri" w:hAnsi="Calibri"/>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w:t>
            </w:r>
          </w:p>
        </w:tc>
        <w:tc>
          <w:tcPr>
            <w:tcW w:w="4714" w:type="dxa"/>
            <w:noWrap/>
            <w:vAlign w:val="center"/>
          </w:tcPr>
          <w:p w14:paraId="2809EB2B">
            <w:pPr>
              <w:spacing w:line="240" w:lineRule="auto"/>
              <w:jc w:val="left"/>
              <w:rPr>
                <w:rFonts w:ascii="Calibri" w:hAnsi="Calibri"/>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投标产品在财政部、生态环境部公布的“环境标志产品政府采购品目清单”内，且响应文件中提供国家市场监督管理局确定的列入“参与实施政府采购环境标志产品认证机构名录 ”内的认证机构出具的、有效期内的该产品环境标志产品认证证书电子件的得1分；未提供的不得分。</w:t>
            </w:r>
          </w:p>
        </w:tc>
      </w:tr>
      <w:tr w14:paraId="1C500A71">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1204" w:type="dxa"/>
            <w:vMerge w:val="continue"/>
            <w:noWrap/>
            <w:vAlign w:val="center"/>
          </w:tcPr>
          <w:p w14:paraId="35530ADB">
            <w:pPr>
              <w:jc w:val="left"/>
              <w:rPr>
                <w:rFonts w:ascii="Calibri" w:hAnsi="Calibri"/>
                <w:color w:val="000000" w:themeColor="text1"/>
                <w:highlight w:val="none"/>
                <w14:textFill>
                  <w14:solidFill>
                    <w14:schemeClr w14:val="tx1"/>
                  </w14:solidFill>
                </w14:textFill>
              </w:rPr>
            </w:pPr>
          </w:p>
        </w:tc>
        <w:tc>
          <w:tcPr>
            <w:tcW w:w="3297" w:type="dxa"/>
            <w:noWrap/>
            <w:vAlign w:val="center"/>
          </w:tcPr>
          <w:p w14:paraId="76F45E78">
            <w:pPr>
              <w:jc w:val="left"/>
              <w:rPr>
                <w:rFonts w:ascii="Calibri" w:hAnsi="Calibri"/>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企业荣誉</w:t>
            </w:r>
          </w:p>
        </w:tc>
        <w:tc>
          <w:tcPr>
            <w:tcW w:w="1175" w:type="dxa"/>
            <w:noWrap/>
            <w:vAlign w:val="center"/>
          </w:tcPr>
          <w:p w14:paraId="240E4173">
            <w:pPr>
              <w:jc w:val="center"/>
              <w:rPr>
                <w:rFonts w:ascii="Calibri" w:hAnsi="Calibri"/>
                <w:color w:val="000000" w:themeColor="text1"/>
                <w:highlight w:val="none"/>
                <w14:textFill>
                  <w14:solidFill>
                    <w14:schemeClr w14:val="tx1"/>
                  </w14:solidFill>
                </w14:textFill>
              </w:rPr>
            </w:pPr>
            <w:r>
              <w:rPr>
                <w:rFonts w:hint="eastAsia" w:ascii="Calibri" w:hAnsi="Calibri"/>
                <w:color w:val="000000" w:themeColor="text1"/>
                <w:highlight w:val="none"/>
                <w14:textFill>
                  <w14:solidFill>
                    <w14:schemeClr w14:val="tx1"/>
                  </w14:solidFill>
                </w14:textFill>
              </w:rPr>
              <w:t>3.00</w:t>
            </w:r>
          </w:p>
        </w:tc>
        <w:tc>
          <w:tcPr>
            <w:tcW w:w="4714" w:type="dxa"/>
            <w:noWrap/>
            <w:vAlign w:val="center"/>
          </w:tcPr>
          <w:p w14:paraId="6306884F">
            <w:pPr>
              <w:jc w:val="left"/>
              <w:rPr>
                <w:rFonts w:hint="eastAsia" w:ascii="Calibri" w:hAnsi="Calibri" w:eastAsia="宋体"/>
                <w:color w:val="000000" w:themeColor="text1"/>
                <w:highlight w:val="none"/>
                <w:lang w:eastAsia="zh-CN"/>
                <w14:textFill>
                  <w14:solidFill>
                    <w14:schemeClr w14:val="tx1"/>
                  </w14:solidFill>
                </w14:textFill>
              </w:rPr>
            </w:pPr>
            <w:r>
              <w:rPr>
                <w:rFonts w:ascii="Calibri" w:hAnsi="Calibri"/>
                <w:color w:val="000000" w:themeColor="text1"/>
                <w:highlight w:val="none"/>
                <w14:textFill>
                  <w14:solidFill>
                    <w14:schemeClr w14:val="tx1"/>
                  </w14:solidFill>
                </w14:textFill>
              </w:rPr>
              <w:t>供应商具有有效的质量管理体系、环境管理体系、职业健康</w:t>
            </w:r>
            <w:r>
              <w:rPr>
                <w:rFonts w:hint="eastAsia" w:ascii="Calibri" w:hAnsi="Calibri"/>
                <w:color w:val="000000" w:themeColor="text1"/>
                <w:highlight w:val="none"/>
                <w14:textFill>
                  <w14:solidFill>
                    <w14:schemeClr w14:val="tx1"/>
                  </w14:solidFill>
                </w14:textFill>
              </w:rPr>
              <w:t>安全</w:t>
            </w:r>
            <w:r>
              <w:rPr>
                <w:rFonts w:ascii="Calibri" w:hAnsi="Calibri"/>
                <w:color w:val="000000" w:themeColor="text1"/>
                <w:highlight w:val="none"/>
                <w14:textFill>
                  <w14:solidFill>
                    <w14:schemeClr w14:val="tx1"/>
                  </w14:solidFill>
                </w14:textFill>
              </w:rPr>
              <w:t>管</w:t>
            </w:r>
            <w:r>
              <w:rPr>
                <w:rFonts w:hint="eastAsia" w:ascii="Calibri" w:hAnsi="Calibri"/>
                <w:color w:val="000000" w:themeColor="text1"/>
                <w:highlight w:val="none"/>
                <w14:textFill>
                  <w14:solidFill>
                    <w14:schemeClr w14:val="tx1"/>
                  </w14:solidFill>
                </w14:textFill>
              </w:rPr>
              <w:t>理体</w:t>
            </w:r>
            <w:r>
              <w:rPr>
                <w:rFonts w:ascii="Calibri" w:hAnsi="Calibri"/>
                <w:color w:val="000000" w:themeColor="text1"/>
                <w:highlight w:val="none"/>
                <w14:textFill>
                  <w14:solidFill>
                    <w14:schemeClr w14:val="tx1"/>
                  </w14:solidFill>
                </w14:textFill>
              </w:rPr>
              <w:t>系认证证书，每</w:t>
            </w:r>
            <w:r>
              <w:rPr>
                <w:rFonts w:hint="eastAsia" w:ascii="Calibri" w:hAnsi="Calibri"/>
                <w:color w:val="000000" w:themeColor="text1"/>
                <w:highlight w:val="none"/>
                <w14:textFill>
                  <w14:solidFill>
                    <w14:schemeClr w14:val="tx1"/>
                  </w14:solidFill>
                </w14:textFill>
              </w:rPr>
              <w:t>有一</w:t>
            </w:r>
            <w:r>
              <w:rPr>
                <w:rFonts w:ascii="Calibri" w:hAnsi="Calibri"/>
                <w:color w:val="000000" w:themeColor="text1"/>
                <w:highlight w:val="none"/>
                <w14:textFill>
                  <w14:solidFill>
                    <w14:schemeClr w14:val="tx1"/>
                  </w14:solidFill>
                </w14:textFill>
              </w:rPr>
              <w:t>项得</w:t>
            </w:r>
            <w:r>
              <w:rPr>
                <w:rFonts w:hint="eastAsia" w:ascii="Calibri" w:hAnsi="Calibri"/>
                <w:color w:val="000000" w:themeColor="text1"/>
                <w:highlight w:val="none"/>
                <w14:textFill>
                  <w14:solidFill>
                    <w14:schemeClr w14:val="tx1"/>
                  </w14:solidFill>
                </w14:textFill>
              </w:rPr>
              <w:t>1</w:t>
            </w:r>
            <w:r>
              <w:rPr>
                <w:rFonts w:ascii="Calibri" w:hAnsi="Calibri"/>
                <w:color w:val="000000" w:themeColor="text1"/>
                <w:highlight w:val="none"/>
                <w14:textFill>
                  <w14:solidFill>
                    <w14:schemeClr w14:val="tx1"/>
                  </w14:solidFill>
                </w14:textFill>
              </w:rPr>
              <w:t>分，最高得</w:t>
            </w:r>
            <w:r>
              <w:rPr>
                <w:rFonts w:hint="eastAsia" w:ascii="Calibri" w:hAnsi="Calibri"/>
                <w:color w:val="000000" w:themeColor="text1"/>
                <w:highlight w:val="none"/>
                <w14:textFill>
                  <w14:solidFill>
                    <w14:schemeClr w14:val="tx1"/>
                  </w14:solidFill>
                </w14:textFill>
              </w:rPr>
              <w:t>3</w:t>
            </w:r>
            <w:r>
              <w:rPr>
                <w:rFonts w:ascii="Calibri" w:hAnsi="Calibri"/>
                <w:color w:val="000000" w:themeColor="text1"/>
                <w:highlight w:val="none"/>
                <w14:textFill>
                  <w14:solidFill>
                    <w14:schemeClr w14:val="tx1"/>
                  </w14:solidFill>
                </w14:textFill>
              </w:rPr>
              <w:t>分</w:t>
            </w:r>
            <w:r>
              <w:rPr>
                <w:rFonts w:hint="eastAsia" w:ascii="Calibri" w:hAnsi="Calibri"/>
                <w:color w:val="000000" w:themeColor="text1"/>
                <w:highlight w:val="none"/>
                <w14:textFill>
                  <w14:solidFill>
                    <w14:schemeClr w14:val="tx1"/>
                  </w14:solidFill>
                </w14:textFill>
              </w:rPr>
              <w:t>。</w:t>
            </w:r>
          </w:p>
          <w:p w14:paraId="5349DEB8">
            <w:pPr>
              <w:jc w:val="left"/>
              <w:rPr>
                <w:rFonts w:ascii="Calibri" w:hAnsi="Calibri"/>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注：</w:t>
            </w:r>
            <w:r>
              <w:rPr>
                <w:rFonts w:hint="eastAsia" w:ascii="Calibri" w:hAnsi="Calibri"/>
                <w:color w:val="000000" w:themeColor="text1"/>
                <w:highlight w:val="none"/>
                <w14:textFill>
                  <w14:solidFill>
                    <w14:schemeClr w14:val="tx1"/>
                  </w14:solidFill>
                </w14:textFill>
              </w:rPr>
              <w:t>（1）</w:t>
            </w:r>
            <w:r>
              <w:rPr>
                <w:rFonts w:hint="eastAsia" w:ascii="Calibri" w:hAnsi="Calibri" w:eastAsia="宋体" w:cs="Times New Roman"/>
                <w:color w:val="000000" w:themeColor="text1"/>
                <w:highlight w:val="none"/>
                <w:lang w:val="en-US" w:eastAsia="zh-CN"/>
                <w14:textFill>
                  <w14:solidFill>
                    <w14:schemeClr w14:val="tx1"/>
                  </w14:solidFill>
                </w14:textFill>
              </w:rPr>
              <w:t>以上</w:t>
            </w:r>
            <w:r>
              <w:rPr>
                <w:rFonts w:hint="eastAsia" w:ascii="Calibri" w:hAnsi="Calibri" w:eastAsia="宋体" w:cs="Times New Roman"/>
                <w:color w:val="000000" w:themeColor="text1"/>
                <w:highlight w:val="none"/>
                <w14:textFill>
                  <w14:solidFill>
                    <w14:schemeClr w14:val="tx1"/>
                  </w14:solidFill>
                </w14:textFill>
              </w:rPr>
              <w:t>证书</w:t>
            </w:r>
            <w:r>
              <w:rPr>
                <w:rFonts w:hint="eastAsia" w:ascii="Calibri" w:hAnsi="Calibri" w:eastAsia="宋体" w:cs="Times New Roman"/>
                <w:color w:val="000000" w:themeColor="text1"/>
                <w:highlight w:val="none"/>
                <w:lang w:val="en-US" w:eastAsia="zh-CN"/>
                <w14:textFill>
                  <w14:solidFill>
                    <w14:schemeClr w14:val="tx1"/>
                  </w14:solidFill>
                </w14:textFill>
              </w:rPr>
              <w:t>认证</w:t>
            </w:r>
            <w:r>
              <w:rPr>
                <w:rFonts w:hint="eastAsia" w:ascii="Calibri" w:hAnsi="Calibri" w:eastAsia="宋体" w:cs="Times New Roman"/>
                <w:color w:val="000000" w:themeColor="text1"/>
                <w:highlight w:val="none"/>
                <w14:textFill>
                  <w14:solidFill>
                    <w14:schemeClr w14:val="tx1"/>
                  </w14:solidFill>
                </w14:textFill>
              </w:rPr>
              <w:t>范围须</w:t>
            </w:r>
            <w:r>
              <w:rPr>
                <w:rFonts w:hint="eastAsia" w:ascii="Calibri" w:hAnsi="Calibri" w:eastAsia="宋体" w:cs="Times New Roman"/>
                <w:color w:val="000000" w:themeColor="text1"/>
                <w:highlight w:val="none"/>
                <w:lang w:val="en-US" w:eastAsia="zh-CN"/>
                <w14:textFill>
                  <w14:solidFill>
                    <w14:schemeClr w14:val="tx1"/>
                  </w14:solidFill>
                </w14:textFill>
              </w:rPr>
              <w:t>包含</w:t>
            </w:r>
            <w:r>
              <w:rPr>
                <w:rFonts w:hint="eastAsia" w:ascii="Calibri" w:hAnsi="Calibri" w:eastAsia="宋体" w:cs="Times New Roman"/>
                <w:color w:val="000000" w:themeColor="text1"/>
                <w:highlight w:val="none"/>
                <w14:textFill>
                  <w14:solidFill>
                    <w14:schemeClr w14:val="tx1"/>
                  </w14:solidFill>
                </w14:textFill>
              </w:rPr>
              <w:t>公路交通工程（公路机电工程）专业承包</w:t>
            </w:r>
            <w:r>
              <w:rPr>
                <w:rFonts w:hint="eastAsia" w:ascii="Calibri" w:hAnsi="Calibri" w:eastAsia="宋体" w:cs="Times New Roman"/>
                <w:color w:val="000000" w:themeColor="text1"/>
                <w:highlight w:val="none"/>
                <w:lang w:eastAsia="zh-CN"/>
                <w14:textFill>
                  <w14:solidFill>
                    <w14:schemeClr w14:val="tx1"/>
                  </w14:solidFill>
                </w14:textFill>
              </w:rPr>
              <w:t>，</w:t>
            </w:r>
            <w:r>
              <w:rPr>
                <w:rFonts w:ascii="Calibri" w:hAnsi="Calibri"/>
                <w:color w:val="000000" w:themeColor="text1"/>
                <w:highlight w:val="none"/>
                <w14:textFill>
                  <w14:solidFill>
                    <w14:schemeClr w14:val="tx1"/>
                  </w14:solidFill>
                </w14:textFill>
              </w:rPr>
              <w:t>须提</w:t>
            </w:r>
            <w:r>
              <w:rPr>
                <w:rFonts w:ascii="Calibri" w:hAnsi="Calibri"/>
                <w:color w:val="000000" w:themeColor="text1"/>
                <w:highlight w:val="none"/>
                <w14:textFill>
                  <w14:solidFill>
                    <w14:schemeClr w14:val="tx1"/>
                  </w14:solidFill>
                </w14:textFill>
              </w:rPr>
              <w:t>供相关证书材料的原件</w:t>
            </w:r>
            <w:r>
              <w:rPr>
                <w:rFonts w:hint="eastAsia" w:ascii="Calibri" w:hAnsi="Calibri"/>
                <w:color w:val="000000" w:themeColor="text1"/>
                <w:highlight w:val="none"/>
                <w14:textFill>
                  <w14:solidFill>
                    <w14:schemeClr w14:val="tx1"/>
                  </w14:solidFill>
                </w14:textFill>
              </w:rPr>
              <w:t>电子件</w:t>
            </w:r>
            <w:r>
              <w:rPr>
                <w:rFonts w:ascii="Calibri" w:hAnsi="Calibri"/>
                <w:color w:val="000000" w:themeColor="text1"/>
                <w:highlight w:val="none"/>
                <w14:textFill>
                  <w14:solidFill>
                    <w14:schemeClr w14:val="tx1"/>
                  </w14:solidFill>
                </w14:textFill>
              </w:rPr>
              <w:t>，且相关内容及印章需清晰可见，均须在有效期内</w:t>
            </w:r>
            <w:r>
              <w:rPr>
                <w:rFonts w:hint="eastAsia" w:ascii="Calibri" w:hAnsi="Calibri"/>
                <w:color w:val="000000" w:themeColor="text1"/>
                <w:highlight w:val="none"/>
                <w14:textFill>
                  <w14:solidFill>
                    <w14:schemeClr w14:val="tx1"/>
                  </w14:solidFill>
                </w14:textFill>
              </w:rPr>
              <w:t>，</w:t>
            </w:r>
            <w:r>
              <w:rPr>
                <w:rFonts w:ascii="Calibri" w:hAnsi="Calibri"/>
                <w:color w:val="000000" w:themeColor="text1"/>
                <w:highlight w:val="none"/>
                <w14:textFill>
                  <w14:solidFill>
                    <w14:schemeClr w14:val="tx1"/>
                  </w14:solidFill>
                </w14:textFill>
              </w:rPr>
              <w:t>否则不予加分</w:t>
            </w:r>
            <w:r>
              <w:rPr>
                <w:rFonts w:hint="eastAsia" w:ascii="Calibri" w:hAnsi="Calibri"/>
                <w:color w:val="000000" w:themeColor="text1"/>
                <w:highlight w:val="none"/>
                <w14:textFill>
                  <w14:solidFill>
                    <w14:schemeClr w14:val="tx1"/>
                  </w14:solidFill>
                </w14:textFill>
              </w:rPr>
              <w:t>；（2）</w:t>
            </w:r>
            <w:r>
              <w:rPr>
                <w:rFonts w:ascii="Calibri" w:hAnsi="Calibri"/>
                <w:color w:val="000000" w:themeColor="text1"/>
                <w:highlight w:val="none"/>
                <w14:textFill>
                  <w14:solidFill>
                    <w14:schemeClr w14:val="tx1"/>
                  </w14:solidFill>
                </w14:textFill>
              </w:rPr>
              <w:t>中标(成交)人提供的相关证书将随中标结果同步公开。</w:t>
            </w:r>
          </w:p>
        </w:tc>
      </w:tr>
      <w:tr w14:paraId="035B01AB">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1204" w:type="dxa"/>
            <w:vMerge w:val="restart"/>
            <w:noWrap/>
            <w:vAlign w:val="center"/>
          </w:tcPr>
          <w:p w14:paraId="605168E1">
            <w:pPr>
              <w:jc w:val="left"/>
              <w:rPr>
                <w:rFonts w:ascii="Calibri" w:hAnsi="Calibri"/>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项目实施方案</w:t>
            </w:r>
          </w:p>
        </w:tc>
        <w:tc>
          <w:tcPr>
            <w:tcW w:w="3297" w:type="dxa"/>
            <w:noWrap/>
            <w:vAlign w:val="center"/>
          </w:tcPr>
          <w:p w14:paraId="3668D6DF">
            <w:pPr>
              <w:jc w:val="left"/>
              <w:rPr>
                <w:rFonts w:ascii="Calibri" w:hAnsi="Calibri"/>
                <w:color w:val="000000" w:themeColor="text1"/>
                <w:highlight w:val="none"/>
                <w14:textFill>
                  <w14:solidFill>
                    <w14:schemeClr w14:val="tx1"/>
                  </w14:solidFill>
                </w14:textFill>
              </w:rPr>
            </w:pPr>
            <w:r>
              <w:rPr>
                <w:rFonts w:hint="eastAsia" w:ascii="Calibri" w:hAnsi="Calibri"/>
                <w:color w:val="000000" w:themeColor="text1"/>
                <w:highlight w:val="none"/>
                <w14:textFill>
                  <w14:solidFill>
                    <w14:schemeClr w14:val="tx1"/>
                  </w14:solidFill>
                </w14:textFill>
              </w:rPr>
              <w:t>总体施工组织布置及规划</w:t>
            </w:r>
          </w:p>
        </w:tc>
        <w:tc>
          <w:tcPr>
            <w:tcW w:w="1175" w:type="dxa"/>
            <w:noWrap/>
            <w:vAlign w:val="center"/>
          </w:tcPr>
          <w:p w14:paraId="06250689">
            <w:pPr>
              <w:jc w:val="center"/>
              <w:rPr>
                <w:rFonts w:ascii="Calibri" w:hAnsi="Calibri"/>
                <w:color w:val="000000" w:themeColor="text1"/>
                <w:highlight w:val="none"/>
                <w14:textFill>
                  <w14:solidFill>
                    <w14:schemeClr w14:val="tx1"/>
                  </w14:solidFill>
                </w14:textFill>
              </w:rPr>
            </w:pPr>
            <w:r>
              <w:rPr>
                <w:rFonts w:hint="eastAsia" w:ascii="Calibri" w:hAnsi="Calibri"/>
                <w:color w:val="000000" w:themeColor="text1"/>
                <w:highlight w:val="none"/>
                <w14:textFill>
                  <w14:solidFill>
                    <w14:schemeClr w14:val="tx1"/>
                  </w14:solidFill>
                </w14:textFill>
              </w:rPr>
              <w:t>9</w:t>
            </w:r>
            <w:r>
              <w:rPr>
                <w:rFonts w:ascii="Calibri" w:hAnsi="Calibri"/>
                <w:color w:val="000000" w:themeColor="text1"/>
                <w:highlight w:val="none"/>
                <w14:textFill>
                  <w14:solidFill>
                    <w14:schemeClr w14:val="tx1"/>
                  </w14:solidFill>
                </w14:textFill>
              </w:rPr>
              <w:t>.00</w:t>
            </w:r>
          </w:p>
        </w:tc>
        <w:tc>
          <w:tcPr>
            <w:tcW w:w="4714" w:type="dxa"/>
            <w:noWrap/>
            <w:vAlign w:val="center"/>
          </w:tcPr>
          <w:p w14:paraId="2896947F">
            <w:pPr>
              <w:jc w:val="left"/>
              <w:rPr>
                <w:rFonts w:ascii="Calibri" w:hAnsi="Calibri"/>
                <w:color w:val="000000" w:themeColor="text1"/>
                <w:highlight w:val="none"/>
                <w14:textFill>
                  <w14:solidFill>
                    <w14:schemeClr w14:val="tx1"/>
                  </w14:solidFill>
                </w14:textFill>
              </w:rPr>
            </w:pPr>
            <w:r>
              <w:rPr>
                <w:rFonts w:ascii="Calibri" w:hAnsi="Calibri" w:eastAsia="宋体" w:cs="Times New Roman"/>
                <w:color w:val="000000" w:themeColor="text1"/>
                <w:kern w:val="0"/>
                <w:szCs w:val="22"/>
                <w:highlight w:val="none"/>
                <w14:textFill>
                  <w14:solidFill>
                    <w14:schemeClr w14:val="tx1"/>
                  </w14:solidFill>
                </w14:textFill>
              </w:rPr>
              <w:t>总体施工布置及规划、施工组织内容的完整性和合理性、施工工艺流程、各分部分项工程工序计划安排</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等</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方案内容完整，符合实际情况且优于采购需求得9分；方案内容完整，较符合现场实际情况且基本符合采购需求得6分；缺乏现场资料，措施不完善，但基本符合规范要求，通过后期优化能够满足采购需求得3分。没有内容不得分。</w:t>
            </w:r>
          </w:p>
        </w:tc>
      </w:tr>
      <w:tr w14:paraId="173B6FB1">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1204" w:type="dxa"/>
            <w:vMerge w:val="continue"/>
            <w:noWrap/>
            <w:vAlign w:val="center"/>
          </w:tcPr>
          <w:p w14:paraId="620A2336">
            <w:pPr>
              <w:jc w:val="left"/>
              <w:rPr>
                <w:rFonts w:ascii="Calibri" w:hAnsi="Calibri"/>
                <w:color w:val="000000" w:themeColor="text1"/>
                <w:highlight w:val="none"/>
                <w14:textFill>
                  <w14:solidFill>
                    <w14:schemeClr w14:val="tx1"/>
                  </w14:solidFill>
                </w14:textFill>
              </w:rPr>
            </w:pPr>
          </w:p>
        </w:tc>
        <w:tc>
          <w:tcPr>
            <w:tcW w:w="3297" w:type="dxa"/>
            <w:noWrap/>
            <w:vAlign w:val="center"/>
          </w:tcPr>
          <w:p w14:paraId="38741621">
            <w:pPr>
              <w:jc w:val="left"/>
              <w:rPr>
                <w:rFonts w:ascii="Calibri" w:hAnsi="Calibri"/>
                <w:color w:val="000000" w:themeColor="text1"/>
                <w:highlight w:val="none"/>
                <w14:textFill>
                  <w14:solidFill>
                    <w14:schemeClr w14:val="tx1"/>
                  </w14:solidFill>
                </w14:textFill>
              </w:rPr>
            </w:pPr>
            <w:r>
              <w:rPr>
                <w:rFonts w:hint="eastAsia" w:ascii="Calibri" w:hAnsi="Calibri"/>
                <w:color w:val="000000" w:themeColor="text1"/>
                <w:highlight w:val="none"/>
                <w14:textFill>
                  <w14:solidFill>
                    <w14:schemeClr w14:val="tx1"/>
                  </w14:solidFill>
                </w14:textFill>
              </w:rPr>
              <w:t>项目重点、难点工程的</w:t>
            </w:r>
            <w:r>
              <w:rPr>
                <w:rFonts w:ascii="Calibri" w:hAnsi="Calibri"/>
                <w:color w:val="000000" w:themeColor="text1"/>
                <w:highlight w:val="none"/>
                <w14:textFill>
                  <w14:solidFill>
                    <w14:schemeClr w14:val="tx1"/>
                  </w14:solidFill>
                </w14:textFill>
              </w:rPr>
              <w:t>施工方案</w:t>
            </w:r>
            <w:r>
              <w:rPr>
                <w:rFonts w:hint="eastAsia" w:ascii="Calibri" w:hAnsi="Calibri"/>
                <w:color w:val="000000" w:themeColor="text1"/>
                <w:highlight w:val="none"/>
                <w14:textFill>
                  <w14:solidFill>
                    <w14:schemeClr w14:val="tx1"/>
                  </w14:solidFill>
                </w14:textFill>
              </w:rPr>
              <w:t>及技术措施</w:t>
            </w:r>
          </w:p>
        </w:tc>
        <w:tc>
          <w:tcPr>
            <w:tcW w:w="1175" w:type="dxa"/>
            <w:noWrap/>
            <w:vAlign w:val="center"/>
          </w:tcPr>
          <w:p w14:paraId="23E0A10E">
            <w:pPr>
              <w:jc w:val="center"/>
              <w:rPr>
                <w:rFonts w:ascii="Calibri" w:hAnsi="Calibri"/>
                <w:color w:val="000000" w:themeColor="text1"/>
                <w:highlight w:val="none"/>
                <w14:textFill>
                  <w14:solidFill>
                    <w14:schemeClr w14:val="tx1"/>
                  </w14:solidFill>
                </w14:textFill>
              </w:rPr>
            </w:pPr>
            <w:r>
              <w:rPr>
                <w:rFonts w:hint="eastAsia" w:ascii="Calibri" w:hAnsi="Calibri"/>
                <w:color w:val="000000" w:themeColor="text1"/>
                <w:highlight w:val="none"/>
                <w14:textFill>
                  <w14:solidFill>
                    <w14:schemeClr w14:val="tx1"/>
                  </w14:solidFill>
                </w14:textFill>
              </w:rPr>
              <w:t>9</w:t>
            </w:r>
            <w:r>
              <w:rPr>
                <w:rFonts w:ascii="Calibri" w:hAnsi="Calibri"/>
                <w:color w:val="000000" w:themeColor="text1"/>
                <w:highlight w:val="none"/>
                <w14:textFill>
                  <w14:solidFill>
                    <w14:schemeClr w14:val="tx1"/>
                  </w14:solidFill>
                </w14:textFill>
              </w:rPr>
              <w:t>.00</w:t>
            </w:r>
          </w:p>
        </w:tc>
        <w:tc>
          <w:tcPr>
            <w:tcW w:w="4714" w:type="dxa"/>
            <w:noWrap/>
            <w:vAlign w:val="center"/>
          </w:tcPr>
          <w:p w14:paraId="33AE8172">
            <w:pPr>
              <w:jc w:val="left"/>
              <w:rPr>
                <w:rFonts w:ascii="Calibri" w:hAnsi="Calibri"/>
                <w:color w:val="000000" w:themeColor="text1"/>
                <w:highlight w:val="none"/>
                <w14:textFill>
                  <w14:solidFill>
                    <w14:schemeClr w14:val="tx1"/>
                  </w14:solidFill>
                </w14:textFill>
              </w:rPr>
            </w:pPr>
            <w:r>
              <w:rPr>
                <w:rFonts w:ascii="Calibri" w:hAnsi="Calibri" w:eastAsia="宋体" w:cs="Times New Roman"/>
                <w:color w:val="000000" w:themeColor="text1"/>
                <w:kern w:val="0"/>
                <w:szCs w:val="22"/>
                <w:highlight w:val="none"/>
                <w14:textFill>
                  <w14:solidFill>
                    <w14:schemeClr w14:val="tx1"/>
                  </w14:solidFill>
                </w14:textFill>
              </w:rPr>
              <w:t>本项目主要工程项目的施工方案、施工方法与技术措施，特别是重点难点工程的施工方案、方法</w:t>
            </w:r>
            <w:r>
              <w:rPr>
                <w:rFonts w:hint="eastAsia" w:ascii="Calibri" w:hAnsi="Calibri" w:eastAsia="宋体" w:cs="Times New Roman"/>
                <w:color w:val="000000" w:themeColor="text1"/>
                <w:kern w:val="0"/>
                <w:szCs w:val="22"/>
                <w:highlight w:val="none"/>
                <w:lang w:eastAsia="zh-CN"/>
                <w14:textFill>
                  <w14:solidFill>
                    <w14:schemeClr w14:val="tx1"/>
                  </w14:solidFill>
                </w14:textFill>
              </w:rPr>
              <w:t>。</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重点难点</w:t>
            </w:r>
            <w:r>
              <w:rPr>
                <w:rFonts w:ascii="Calibri" w:hAnsi="Calibri" w:eastAsia="宋体" w:cs="Times New Roman"/>
                <w:color w:val="000000" w:themeColor="text1"/>
                <w:kern w:val="0"/>
                <w:szCs w:val="22"/>
                <w:highlight w:val="none"/>
                <w14:textFill>
                  <w14:solidFill>
                    <w14:schemeClr w14:val="tx1"/>
                  </w14:solidFill>
                </w14:textFill>
              </w:rPr>
              <w:t>工程施工方案、方法</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内容全面具体、思路清晰、要点明确、措施详细，优于或完全满足采购需求的得9分；重点难点</w:t>
            </w:r>
            <w:r>
              <w:rPr>
                <w:rFonts w:ascii="Calibri" w:hAnsi="Calibri" w:eastAsia="宋体" w:cs="Times New Roman"/>
                <w:color w:val="000000" w:themeColor="text1"/>
                <w:kern w:val="0"/>
                <w:szCs w:val="22"/>
                <w:highlight w:val="none"/>
                <w14:textFill>
                  <w14:solidFill>
                    <w14:schemeClr w14:val="tx1"/>
                  </w14:solidFill>
                </w14:textFill>
              </w:rPr>
              <w:t>工程施工方案、方法</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有具体内容，有明确思路、有要点和措施，基本满足采购需求的得6分；重点难点</w:t>
            </w:r>
            <w:r>
              <w:rPr>
                <w:rFonts w:ascii="Calibri" w:hAnsi="Calibri" w:eastAsia="宋体" w:cs="Times New Roman"/>
                <w:color w:val="000000" w:themeColor="text1"/>
                <w:kern w:val="0"/>
                <w:szCs w:val="22"/>
                <w:highlight w:val="none"/>
                <w14:textFill>
                  <w14:solidFill>
                    <w14:schemeClr w14:val="tx1"/>
                  </w14:solidFill>
                </w14:textFill>
              </w:rPr>
              <w:t>工程施工方案、方法</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内容不具体、思路不清晰、要点不明确，有欠缺，但经过后期优化可以实现采购需求的得3分；没有内容或其他情况不得分。</w:t>
            </w:r>
          </w:p>
        </w:tc>
      </w:tr>
      <w:tr w14:paraId="4F5F7E45">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1204" w:type="dxa"/>
            <w:vMerge w:val="continue"/>
            <w:noWrap/>
            <w:vAlign w:val="center"/>
          </w:tcPr>
          <w:p w14:paraId="02137F89">
            <w:pPr>
              <w:jc w:val="left"/>
              <w:rPr>
                <w:rFonts w:ascii="Calibri" w:hAnsi="Calibri"/>
                <w:color w:val="000000" w:themeColor="text1"/>
                <w:highlight w:val="none"/>
                <w14:textFill>
                  <w14:solidFill>
                    <w14:schemeClr w14:val="tx1"/>
                  </w14:solidFill>
                </w14:textFill>
              </w:rPr>
            </w:pPr>
          </w:p>
        </w:tc>
        <w:tc>
          <w:tcPr>
            <w:tcW w:w="3297" w:type="dxa"/>
            <w:noWrap/>
            <w:vAlign w:val="center"/>
          </w:tcPr>
          <w:p w14:paraId="352FA412">
            <w:pPr>
              <w:jc w:val="left"/>
              <w:rPr>
                <w:rFonts w:ascii="Calibri" w:hAnsi="Calibri"/>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工期保证措施</w:t>
            </w:r>
          </w:p>
        </w:tc>
        <w:tc>
          <w:tcPr>
            <w:tcW w:w="1175" w:type="dxa"/>
            <w:noWrap/>
            <w:vAlign w:val="center"/>
          </w:tcPr>
          <w:p w14:paraId="757E0DEA">
            <w:pPr>
              <w:jc w:val="center"/>
              <w:rPr>
                <w:rFonts w:ascii="Calibri" w:hAnsi="Calibri"/>
                <w:color w:val="000000" w:themeColor="text1"/>
                <w:highlight w:val="none"/>
                <w14:textFill>
                  <w14:solidFill>
                    <w14:schemeClr w14:val="tx1"/>
                  </w14:solidFill>
                </w14:textFill>
              </w:rPr>
            </w:pPr>
            <w:r>
              <w:rPr>
                <w:rFonts w:hint="eastAsia" w:ascii="Calibri" w:hAnsi="Calibri"/>
                <w:color w:val="000000" w:themeColor="text1"/>
                <w:highlight w:val="none"/>
                <w14:textFill>
                  <w14:solidFill>
                    <w14:schemeClr w14:val="tx1"/>
                  </w14:solidFill>
                </w14:textFill>
              </w:rPr>
              <w:t>8</w:t>
            </w:r>
            <w:r>
              <w:rPr>
                <w:rFonts w:ascii="Calibri" w:hAnsi="Calibri"/>
                <w:color w:val="000000" w:themeColor="text1"/>
                <w:highlight w:val="none"/>
                <w14:textFill>
                  <w14:solidFill>
                    <w14:schemeClr w14:val="tx1"/>
                  </w14:solidFill>
                </w14:textFill>
              </w:rPr>
              <w:t>.00</w:t>
            </w:r>
          </w:p>
        </w:tc>
        <w:tc>
          <w:tcPr>
            <w:tcW w:w="4714" w:type="dxa"/>
            <w:noWrap/>
            <w:vAlign w:val="center"/>
          </w:tcPr>
          <w:p w14:paraId="3821E0A4">
            <w:pPr>
              <w:jc w:val="left"/>
              <w:rPr>
                <w:rFonts w:ascii="Calibri" w:hAnsi="Calibri" w:eastAsia="宋体" w:cs="Times New Roman"/>
                <w:color w:val="000000" w:themeColor="text1"/>
                <w:kern w:val="0"/>
                <w:szCs w:val="22"/>
                <w:highlight w:val="none"/>
                <w14:textFill>
                  <w14:solidFill>
                    <w14:schemeClr w14:val="tx1"/>
                  </w14:solidFill>
                </w14:textFill>
              </w:rPr>
            </w:pPr>
            <w:r>
              <w:rPr>
                <w:rFonts w:ascii="Calibri" w:hAnsi="Calibri" w:eastAsia="宋体" w:cs="Times New Roman"/>
                <w:color w:val="000000" w:themeColor="text1"/>
                <w:kern w:val="0"/>
                <w:szCs w:val="22"/>
                <w:highlight w:val="none"/>
                <w14:textFill>
                  <w14:solidFill>
                    <w14:schemeClr w14:val="tx1"/>
                  </w14:solidFill>
                </w14:textFill>
              </w:rPr>
              <w:t>工期保证措施</w:t>
            </w:r>
            <w:r>
              <w:rPr>
                <w:rFonts w:hint="eastAsia" w:ascii="Calibri" w:hAnsi="Calibri" w:eastAsia="宋体" w:cs="Times New Roman"/>
                <w:color w:val="000000" w:themeColor="text1"/>
                <w:kern w:val="0"/>
                <w:szCs w:val="22"/>
                <w:highlight w:val="none"/>
                <w14:textFill>
                  <w14:solidFill>
                    <w14:schemeClr w14:val="tx1"/>
                  </w14:solidFill>
                </w14:textFill>
              </w:rPr>
              <w:t>，针对本项目编制的施工进度计划和各阶段进度的保证措施方案</w:t>
            </w:r>
            <w:r>
              <w:rPr>
                <w:rFonts w:ascii="Calibri" w:hAnsi="Calibri" w:eastAsia="宋体" w:cs="Times New Roman"/>
                <w:color w:val="000000" w:themeColor="text1"/>
                <w:kern w:val="0"/>
                <w:szCs w:val="22"/>
                <w:highlight w:val="none"/>
                <w14:textFill>
                  <w14:solidFill>
                    <w14:schemeClr w14:val="tx1"/>
                  </w14:solidFill>
                </w14:textFill>
              </w:rPr>
              <w:t>；</w:t>
            </w:r>
          </w:p>
          <w:p w14:paraId="5E8CC20A">
            <w:pPr>
              <w:jc w:val="left"/>
              <w:rPr>
                <w:rFonts w:ascii="Calibri" w:hAnsi="Calibri"/>
                <w:color w:val="000000" w:themeColor="text1"/>
                <w:highlight w:val="none"/>
                <w14:textFill>
                  <w14:solidFill>
                    <w14:schemeClr w14:val="tx1"/>
                  </w14:solidFill>
                </w14:textFill>
              </w:rPr>
            </w:pPr>
            <w:r>
              <w:rPr>
                <w:rFonts w:hint="eastAsia" w:ascii="Calibri" w:hAnsi="Calibri" w:eastAsia="宋体" w:cs="Times New Roman"/>
                <w:color w:val="000000" w:themeColor="text1"/>
                <w:kern w:val="0"/>
                <w:szCs w:val="22"/>
                <w:highlight w:val="none"/>
                <w14:textFill>
                  <w14:solidFill>
                    <w14:schemeClr w14:val="tx1"/>
                  </w14:solidFill>
                </w14:textFill>
              </w:rPr>
              <w:t>进度计划详细具体，各阶段进度计划保证措施可靠、组织严谨、符合本次施工现场实际情况且优于采购需求的得</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9</w:t>
            </w:r>
            <w:r>
              <w:rPr>
                <w:rFonts w:hint="eastAsia" w:ascii="Calibri" w:hAnsi="Calibri" w:eastAsia="宋体" w:cs="Times New Roman"/>
                <w:color w:val="000000" w:themeColor="text1"/>
                <w:kern w:val="0"/>
                <w:szCs w:val="22"/>
                <w:highlight w:val="none"/>
                <w14:textFill>
                  <w14:solidFill>
                    <w14:schemeClr w14:val="tx1"/>
                  </w14:solidFill>
                </w14:textFill>
              </w:rPr>
              <w:t>分；进度计划详细具体，各阶段进度计划保证措施不完善、但能满足采购需求的得</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6</w:t>
            </w:r>
            <w:r>
              <w:rPr>
                <w:rFonts w:hint="eastAsia" w:ascii="Calibri" w:hAnsi="Calibri" w:eastAsia="宋体" w:cs="Times New Roman"/>
                <w:color w:val="000000" w:themeColor="text1"/>
                <w:kern w:val="0"/>
                <w:szCs w:val="22"/>
                <w:highlight w:val="none"/>
                <w14:textFill>
                  <w14:solidFill>
                    <w14:schemeClr w14:val="tx1"/>
                  </w14:solidFill>
                </w14:textFill>
              </w:rPr>
              <w:t>分；进度计划内容和各阶段进度计划保证措施简略、进度计划内容和各阶段进度计划保证措施不能对应、需通过后期优化方案才能满足采购需求的得</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3</w:t>
            </w:r>
            <w:r>
              <w:rPr>
                <w:rFonts w:hint="eastAsia" w:ascii="Calibri" w:hAnsi="Calibri" w:eastAsia="宋体" w:cs="Times New Roman"/>
                <w:color w:val="000000" w:themeColor="text1"/>
                <w:kern w:val="0"/>
                <w:szCs w:val="22"/>
                <w:highlight w:val="none"/>
                <w14:textFill>
                  <w14:solidFill>
                    <w14:schemeClr w14:val="tx1"/>
                  </w14:solidFill>
                </w14:textFill>
              </w:rPr>
              <w:t>分；没有内容不得分。</w:t>
            </w:r>
          </w:p>
        </w:tc>
      </w:tr>
      <w:tr w14:paraId="3D435B3C">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1204" w:type="dxa"/>
            <w:vMerge w:val="continue"/>
            <w:noWrap/>
            <w:vAlign w:val="center"/>
          </w:tcPr>
          <w:p w14:paraId="00060D24">
            <w:pPr>
              <w:jc w:val="left"/>
              <w:rPr>
                <w:rFonts w:ascii="Calibri" w:hAnsi="Calibri"/>
                <w:color w:val="000000" w:themeColor="text1"/>
                <w:highlight w:val="none"/>
                <w14:textFill>
                  <w14:solidFill>
                    <w14:schemeClr w14:val="tx1"/>
                  </w14:solidFill>
                </w14:textFill>
              </w:rPr>
            </w:pPr>
          </w:p>
        </w:tc>
        <w:tc>
          <w:tcPr>
            <w:tcW w:w="3297" w:type="dxa"/>
            <w:noWrap/>
            <w:vAlign w:val="center"/>
          </w:tcPr>
          <w:p w14:paraId="7656822B">
            <w:pPr>
              <w:jc w:val="left"/>
              <w:rPr>
                <w:rFonts w:ascii="Calibri" w:hAnsi="Calibri"/>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工程质量管理体系</w:t>
            </w:r>
            <w:r>
              <w:rPr>
                <w:rFonts w:hint="eastAsia" w:ascii="Calibri" w:hAnsi="Calibri"/>
                <w:color w:val="000000" w:themeColor="text1"/>
                <w:highlight w:val="none"/>
                <w14:textFill>
                  <w14:solidFill>
                    <w14:schemeClr w14:val="tx1"/>
                  </w14:solidFill>
                </w14:textFill>
              </w:rPr>
              <w:t>及</w:t>
            </w:r>
            <w:r>
              <w:rPr>
                <w:rFonts w:ascii="Calibri" w:hAnsi="Calibri"/>
                <w:color w:val="000000" w:themeColor="text1"/>
                <w:highlight w:val="none"/>
                <w14:textFill>
                  <w14:solidFill>
                    <w14:schemeClr w14:val="tx1"/>
                  </w14:solidFill>
                </w14:textFill>
              </w:rPr>
              <w:t>保证措施</w:t>
            </w:r>
          </w:p>
        </w:tc>
        <w:tc>
          <w:tcPr>
            <w:tcW w:w="1175" w:type="dxa"/>
            <w:noWrap/>
            <w:vAlign w:val="center"/>
          </w:tcPr>
          <w:p w14:paraId="29605E8E">
            <w:pPr>
              <w:jc w:val="center"/>
              <w:rPr>
                <w:rFonts w:ascii="Calibri" w:hAnsi="Calibri"/>
                <w:color w:val="000000" w:themeColor="text1"/>
                <w:highlight w:val="none"/>
                <w14:textFill>
                  <w14:solidFill>
                    <w14:schemeClr w14:val="tx1"/>
                  </w14:solidFill>
                </w14:textFill>
              </w:rPr>
            </w:pPr>
            <w:r>
              <w:rPr>
                <w:rFonts w:hint="eastAsia" w:ascii="Calibri" w:hAnsi="Calibri"/>
                <w:color w:val="000000" w:themeColor="text1"/>
                <w:highlight w:val="none"/>
                <w14:textFill>
                  <w14:solidFill>
                    <w14:schemeClr w14:val="tx1"/>
                  </w14:solidFill>
                </w14:textFill>
              </w:rPr>
              <w:t>8</w:t>
            </w:r>
            <w:r>
              <w:rPr>
                <w:rFonts w:ascii="Calibri" w:hAnsi="Calibri"/>
                <w:color w:val="000000" w:themeColor="text1"/>
                <w:highlight w:val="none"/>
                <w14:textFill>
                  <w14:solidFill>
                    <w14:schemeClr w14:val="tx1"/>
                  </w14:solidFill>
                </w14:textFill>
              </w:rPr>
              <w:t>.00</w:t>
            </w:r>
          </w:p>
        </w:tc>
        <w:tc>
          <w:tcPr>
            <w:tcW w:w="4714" w:type="dxa"/>
            <w:noWrap/>
            <w:vAlign w:val="center"/>
          </w:tcPr>
          <w:p w14:paraId="1C816B01">
            <w:pPr>
              <w:jc w:val="left"/>
              <w:rPr>
                <w:rFonts w:ascii="Calibri" w:hAnsi="Calibri" w:eastAsia="宋体" w:cs="Times New Roman"/>
                <w:color w:val="000000" w:themeColor="text1"/>
                <w:kern w:val="0"/>
                <w:szCs w:val="22"/>
                <w:highlight w:val="none"/>
                <w14:textFill>
                  <w14:solidFill>
                    <w14:schemeClr w14:val="tx1"/>
                  </w14:solidFill>
                </w14:textFill>
              </w:rPr>
            </w:pPr>
            <w:r>
              <w:rPr>
                <w:rFonts w:hint="eastAsia" w:ascii="Calibri" w:hAnsi="Calibri" w:eastAsia="宋体" w:cs="Times New Roman"/>
                <w:color w:val="000000" w:themeColor="text1"/>
                <w:kern w:val="0"/>
                <w:szCs w:val="22"/>
                <w:highlight w:val="none"/>
                <w14:textFill>
                  <w14:solidFill>
                    <w14:schemeClr w14:val="tx1"/>
                  </w14:solidFill>
                </w14:textFill>
              </w:rPr>
              <w:t>针对本项目编制的</w:t>
            </w:r>
            <w:r>
              <w:rPr>
                <w:rFonts w:ascii="Calibri" w:hAnsi="Calibri" w:eastAsia="宋体" w:cs="Times New Roman"/>
                <w:color w:val="000000" w:themeColor="text1"/>
                <w:kern w:val="0"/>
                <w:szCs w:val="22"/>
                <w:highlight w:val="none"/>
                <w14:textFill>
                  <w14:solidFill>
                    <w14:schemeClr w14:val="tx1"/>
                  </w14:solidFill>
                </w14:textFill>
              </w:rPr>
              <w:t>工程质量管理体系、工程质量保证措施；</w:t>
            </w:r>
          </w:p>
          <w:p w14:paraId="1B7C9442">
            <w:pPr>
              <w:jc w:val="left"/>
              <w:rPr>
                <w:rFonts w:ascii="Calibri" w:hAnsi="Calibri"/>
                <w:color w:val="000000" w:themeColor="text1"/>
                <w:highlight w:val="none"/>
                <w14:textFill>
                  <w14:solidFill>
                    <w14:schemeClr w14:val="tx1"/>
                  </w14:solidFill>
                </w14:textFill>
              </w:rPr>
            </w:pPr>
            <w:r>
              <w:rPr>
                <w:rFonts w:ascii="Calibri" w:hAnsi="Calibri" w:eastAsia="宋体" w:cs="Times New Roman"/>
                <w:color w:val="000000" w:themeColor="text1"/>
                <w:kern w:val="0"/>
                <w:szCs w:val="22"/>
                <w:highlight w:val="none"/>
                <w14:textFill>
                  <w14:solidFill>
                    <w14:schemeClr w14:val="tx1"/>
                  </w14:solidFill>
                </w14:textFill>
              </w:rPr>
              <w:t>质量管理体系</w:t>
            </w:r>
            <w:r>
              <w:rPr>
                <w:rFonts w:hint="eastAsia" w:ascii="Calibri" w:hAnsi="Calibri" w:eastAsia="宋体" w:cs="Times New Roman"/>
                <w:color w:val="000000" w:themeColor="text1"/>
                <w:kern w:val="0"/>
                <w:szCs w:val="22"/>
                <w:highlight w:val="none"/>
                <w:lang w:eastAsia="zh-CN"/>
                <w14:textFill>
                  <w14:solidFill>
                    <w14:schemeClr w14:val="tx1"/>
                  </w14:solidFill>
                </w14:textFill>
              </w:rPr>
              <w:t>、</w:t>
            </w:r>
            <w:r>
              <w:rPr>
                <w:rFonts w:hint="default" w:ascii="Calibri" w:hAnsi="Calibri" w:eastAsia="宋体" w:cs="Times New Roman"/>
                <w:color w:val="000000" w:themeColor="text1"/>
                <w:kern w:val="0"/>
                <w:szCs w:val="22"/>
                <w:highlight w:val="none"/>
                <w:lang w:val="en-US" w:eastAsia="zh-CN"/>
                <w14:textFill>
                  <w14:solidFill>
                    <w14:schemeClr w14:val="tx1"/>
                  </w14:solidFill>
                </w14:textFill>
              </w:rPr>
              <w:t xml:space="preserve">质量安全保障措施具体详细、重点突出，优于采购需求的，得 </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8</w:t>
            </w:r>
            <w:r>
              <w:rPr>
                <w:rFonts w:hint="default" w:ascii="Calibri" w:hAnsi="Calibri" w:eastAsia="宋体" w:cs="Times New Roman"/>
                <w:color w:val="000000" w:themeColor="text1"/>
                <w:kern w:val="0"/>
                <w:szCs w:val="22"/>
                <w:highlight w:val="none"/>
                <w:lang w:val="en-US" w:eastAsia="zh-CN"/>
                <w14:textFill>
                  <w14:solidFill>
                    <w14:schemeClr w14:val="tx1"/>
                  </w14:solidFill>
                </w14:textFill>
              </w:rPr>
              <w:t>分；</w:t>
            </w:r>
            <w:r>
              <w:rPr>
                <w:rFonts w:ascii="Calibri" w:hAnsi="Calibri" w:eastAsia="宋体" w:cs="Times New Roman"/>
                <w:color w:val="000000" w:themeColor="text1"/>
                <w:kern w:val="0"/>
                <w:szCs w:val="22"/>
                <w:highlight w:val="none"/>
                <w14:textFill>
                  <w14:solidFill>
                    <w14:schemeClr w14:val="tx1"/>
                  </w14:solidFill>
                </w14:textFill>
              </w:rPr>
              <w:t>质量管理体系</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有具体内容</w:t>
            </w:r>
            <w:r>
              <w:rPr>
                <w:rFonts w:hint="eastAsia" w:ascii="Calibri" w:hAnsi="Calibri" w:eastAsia="宋体" w:cs="Times New Roman"/>
                <w:color w:val="000000" w:themeColor="text1"/>
                <w:kern w:val="0"/>
                <w:szCs w:val="22"/>
                <w:highlight w:val="none"/>
                <w:lang w:eastAsia="zh-CN"/>
                <w14:textFill>
                  <w14:solidFill>
                    <w14:schemeClr w14:val="tx1"/>
                  </w14:solidFill>
                </w14:textFill>
              </w:rPr>
              <w:t>、</w:t>
            </w:r>
            <w:r>
              <w:rPr>
                <w:rFonts w:hint="default" w:ascii="Calibri" w:hAnsi="Calibri" w:eastAsia="宋体" w:cs="Times New Roman"/>
                <w:color w:val="000000" w:themeColor="text1"/>
                <w:kern w:val="0"/>
                <w:szCs w:val="22"/>
                <w:highlight w:val="none"/>
                <w:lang w:val="en-US" w:eastAsia="zh-CN"/>
                <w14:textFill>
                  <w14:solidFill>
                    <w14:schemeClr w14:val="tx1"/>
                  </w14:solidFill>
                </w14:textFill>
              </w:rPr>
              <w:t>质量安全保障措施有具体措施，可以实现采购需求的，得</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5</w:t>
            </w:r>
            <w:r>
              <w:rPr>
                <w:rFonts w:hint="default" w:ascii="Calibri" w:hAnsi="Calibri" w:eastAsia="宋体" w:cs="Times New Roman"/>
                <w:color w:val="000000" w:themeColor="text1"/>
                <w:kern w:val="0"/>
                <w:szCs w:val="22"/>
                <w:highlight w:val="none"/>
                <w:lang w:val="en-US" w:eastAsia="zh-CN"/>
                <w14:textFill>
                  <w14:solidFill>
                    <w14:schemeClr w14:val="tx1"/>
                  </w14:solidFill>
                </w14:textFill>
              </w:rPr>
              <w:t>分；</w:t>
            </w:r>
            <w:r>
              <w:rPr>
                <w:rFonts w:ascii="Calibri" w:hAnsi="Calibri" w:eastAsia="宋体" w:cs="Times New Roman"/>
                <w:color w:val="000000" w:themeColor="text1"/>
                <w:kern w:val="0"/>
                <w:szCs w:val="22"/>
                <w:highlight w:val="none"/>
                <w14:textFill>
                  <w14:solidFill>
                    <w14:schemeClr w14:val="tx1"/>
                  </w14:solidFill>
                </w14:textFill>
              </w:rPr>
              <w:t>质量管理体系</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无具体内容</w:t>
            </w:r>
            <w:r>
              <w:rPr>
                <w:rFonts w:hint="default" w:ascii="Calibri" w:hAnsi="Calibri" w:eastAsia="宋体" w:cs="Times New Roman"/>
                <w:color w:val="000000" w:themeColor="text1"/>
                <w:kern w:val="0"/>
                <w:szCs w:val="22"/>
                <w:highlight w:val="none"/>
                <w:lang w:val="en-US" w:eastAsia="zh-CN"/>
                <w14:textFill>
                  <w14:solidFill>
                    <w14:schemeClr w14:val="tx1"/>
                  </w14:solidFill>
                </w14:textFill>
              </w:rPr>
              <w:t>，质量安全保障无具体措施，但经后期优化后可以实现采购需求的，得</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3</w:t>
            </w:r>
            <w:r>
              <w:rPr>
                <w:rFonts w:hint="default" w:ascii="Calibri" w:hAnsi="Calibri" w:eastAsia="宋体" w:cs="Times New Roman"/>
                <w:color w:val="000000" w:themeColor="text1"/>
                <w:kern w:val="0"/>
                <w:szCs w:val="22"/>
                <w:highlight w:val="none"/>
                <w:lang w:val="en-US" w:eastAsia="zh-CN"/>
                <w14:textFill>
                  <w14:solidFill>
                    <w14:schemeClr w14:val="tx1"/>
                  </w14:solidFill>
                </w14:textFill>
              </w:rPr>
              <w:t>分；没有内容不得分。</w:t>
            </w:r>
          </w:p>
        </w:tc>
      </w:tr>
      <w:tr w14:paraId="56012898">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1204" w:type="dxa"/>
            <w:vMerge w:val="continue"/>
            <w:noWrap/>
            <w:vAlign w:val="center"/>
          </w:tcPr>
          <w:p w14:paraId="08F8ECF9">
            <w:pPr>
              <w:jc w:val="left"/>
              <w:rPr>
                <w:rFonts w:ascii="Calibri" w:hAnsi="Calibri"/>
                <w:color w:val="000000" w:themeColor="text1"/>
                <w:highlight w:val="none"/>
                <w14:textFill>
                  <w14:solidFill>
                    <w14:schemeClr w14:val="tx1"/>
                  </w14:solidFill>
                </w14:textFill>
              </w:rPr>
            </w:pPr>
          </w:p>
        </w:tc>
        <w:tc>
          <w:tcPr>
            <w:tcW w:w="3297" w:type="dxa"/>
            <w:noWrap/>
            <w:vAlign w:val="center"/>
          </w:tcPr>
          <w:p w14:paraId="0C28C141">
            <w:pPr>
              <w:jc w:val="left"/>
              <w:rPr>
                <w:rFonts w:ascii="Calibri" w:hAnsi="Calibri"/>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环境保护、安全、文明施工</w:t>
            </w:r>
            <w:r>
              <w:rPr>
                <w:rFonts w:hint="eastAsia" w:ascii="Calibri" w:hAnsi="Calibri"/>
                <w:color w:val="000000" w:themeColor="text1"/>
                <w:highlight w:val="none"/>
                <w14:textFill>
                  <w14:solidFill>
                    <w14:schemeClr w14:val="tx1"/>
                  </w14:solidFill>
                </w14:textFill>
              </w:rPr>
              <w:t>措施</w:t>
            </w:r>
          </w:p>
        </w:tc>
        <w:tc>
          <w:tcPr>
            <w:tcW w:w="1175" w:type="dxa"/>
            <w:noWrap/>
            <w:vAlign w:val="center"/>
          </w:tcPr>
          <w:p w14:paraId="1798EF84">
            <w:pPr>
              <w:jc w:val="center"/>
              <w:rPr>
                <w:rFonts w:ascii="Calibri" w:hAnsi="Calibri"/>
                <w:color w:val="000000" w:themeColor="text1"/>
                <w:highlight w:val="none"/>
                <w14:textFill>
                  <w14:solidFill>
                    <w14:schemeClr w14:val="tx1"/>
                  </w14:solidFill>
                </w14:textFill>
              </w:rPr>
            </w:pPr>
            <w:r>
              <w:rPr>
                <w:rFonts w:hint="eastAsia" w:ascii="Calibri" w:hAnsi="Calibri"/>
                <w:color w:val="000000" w:themeColor="text1"/>
                <w:highlight w:val="none"/>
                <w14:textFill>
                  <w14:solidFill>
                    <w14:schemeClr w14:val="tx1"/>
                  </w14:solidFill>
                </w14:textFill>
              </w:rPr>
              <w:t>8</w:t>
            </w:r>
            <w:r>
              <w:rPr>
                <w:rFonts w:ascii="Calibri" w:hAnsi="Calibri"/>
                <w:color w:val="000000" w:themeColor="text1"/>
                <w:highlight w:val="none"/>
                <w14:textFill>
                  <w14:solidFill>
                    <w14:schemeClr w14:val="tx1"/>
                  </w14:solidFill>
                </w14:textFill>
              </w:rPr>
              <w:t>.00</w:t>
            </w:r>
          </w:p>
        </w:tc>
        <w:tc>
          <w:tcPr>
            <w:tcW w:w="4714" w:type="dxa"/>
            <w:noWrap/>
            <w:vAlign w:val="center"/>
          </w:tcPr>
          <w:p w14:paraId="6EC2CB21">
            <w:pPr>
              <w:jc w:val="left"/>
              <w:rPr>
                <w:rFonts w:hint="eastAsia" w:ascii="Calibri" w:hAnsi="Calibri" w:eastAsia="宋体" w:cs="Times New Roman"/>
                <w:color w:val="000000" w:themeColor="text1"/>
                <w:kern w:val="0"/>
                <w:szCs w:val="22"/>
                <w:highlight w:val="none"/>
                <w:lang w:eastAsia="zh-CN"/>
                <w14:textFill>
                  <w14:solidFill>
                    <w14:schemeClr w14:val="tx1"/>
                  </w14:solidFill>
                </w14:textFill>
              </w:rPr>
            </w:pPr>
            <w:r>
              <w:rPr>
                <w:rFonts w:hint="eastAsia" w:ascii="Calibri" w:hAnsi="Calibri" w:eastAsia="宋体" w:cs="Times New Roman"/>
                <w:color w:val="000000" w:themeColor="text1"/>
                <w:kern w:val="0"/>
                <w:szCs w:val="22"/>
                <w:highlight w:val="none"/>
                <w14:textFill>
                  <w14:solidFill>
                    <w14:schemeClr w14:val="tx1"/>
                  </w14:solidFill>
                </w14:textFill>
              </w:rPr>
              <w:t>针对本项目编制的</w:t>
            </w:r>
            <w:r>
              <w:rPr>
                <w:rFonts w:ascii="Calibri" w:hAnsi="Calibri" w:eastAsia="宋体" w:cs="Times New Roman"/>
                <w:color w:val="000000" w:themeColor="text1"/>
                <w:kern w:val="0"/>
                <w:szCs w:val="22"/>
                <w:highlight w:val="none"/>
                <w14:textFill>
                  <w14:solidFill>
                    <w14:schemeClr w14:val="tx1"/>
                  </w14:solidFill>
                </w14:textFill>
              </w:rPr>
              <w:t>环境保护、安全、文明施工</w:t>
            </w:r>
            <w:r>
              <w:rPr>
                <w:rFonts w:hint="eastAsia" w:ascii="Calibri" w:hAnsi="Calibri" w:eastAsia="宋体" w:cs="Times New Roman"/>
                <w:color w:val="000000" w:themeColor="text1"/>
                <w:kern w:val="0"/>
                <w:szCs w:val="22"/>
                <w:highlight w:val="none"/>
                <w14:textFill>
                  <w14:solidFill>
                    <w14:schemeClr w14:val="tx1"/>
                  </w14:solidFill>
                </w14:textFill>
              </w:rPr>
              <w:t>措施</w:t>
            </w:r>
            <w:r>
              <w:rPr>
                <w:rFonts w:hint="eastAsia" w:ascii="Calibri" w:hAnsi="Calibri" w:eastAsia="宋体" w:cs="Times New Roman"/>
                <w:color w:val="000000" w:themeColor="text1"/>
                <w:kern w:val="0"/>
                <w:szCs w:val="22"/>
                <w:highlight w:val="none"/>
                <w:lang w:eastAsia="zh-CN"/>
                <w14:textFill>
                  <w14:solidFill>
                    <w14:schemeClr w14:val="tx1"/>
                  </w14:solidFill>
                </w14:textFill>
              </w:rPr>
              <w:t>；</w:t>
            </w:r>
          </w:p>
          <w:p w14:paraId="676E18AE">
            <w:pPr>
              <w:jc w:val="left"/>
              <w:rPr>
                <w:rFonts w:ascii="Calibri" w:hAnsi="Calibri"/>
                <w:color w:val="000000" w:themeColor="text1"/>
                <w:highlight w:val="none"/>
                <w14:textFill>
                  <w14:solidFill>
                    <w14:schemeClr w14:val="tx1"/>
                  </w14:solidFill>
                </w14:textFill>
              </w:rPr>
            </w:pPr>
            <w:r>
              <w:rPr>
                <w:rFonts w:hint="eastAsia" w:ascii="Calibri" w:hAnsi="Calibri" w:eastAsia="宋体" w:cs="Times New Roman"/>
                <w:color w:val="000000" w:themeColor="text1"/>
                <w:kern w:val="0"/>
                <w:szCs w:val="22"/>
                <w:highlight w:val="none"/>
                <w14:textFill>
                  <w14:solidFill>
                    <w14:schemeClr w14:val="tx1"/>
                  </w14:solidFill>
                </w14:textFill>
              </w:rPr>
              <w:t>措施方案内容完整，符合实际情况且优于采购需求得</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8</w:t>
            </w:r>
            <w:r>
              <w:rPr>
                <w:rFonts w:hint="eastAsia" w:ascii="Calibri" w:hAnsi="Calibri" w:eastAsia="宋体" w:cs="Times New Roman"/>
                <w:color w:val="000000" w:themeColor="text1"/>
                <w:kern w:val="0"/>
                <w:szCs w:val="22"/>
                <w:highlight w:val="none"/>
                <w14:textFill>
                  <w14:solidFill>
                    <w14:schemeClr w14:val="tx1"/>
                  </w14:solidFill>
                </w14:textFill>
              </w:rPr>
              <w:t>分；方案内容完整，较符合现场实际情况且基本符合采购需求得</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5</w:t>
            </w:r>
            <w:r>
              <w:rPr>
                <w:rFonts w:hint="eastAsia" w:ascii="Calibri" w:hAnsi="Calibri" w:eastAsia="宋体" w:cs="Times New Roman"/>
                <w:color w:val="000000" w:themeColor="text1"/>
                <w:kern w:val="0"/>
                <w:szCs w:val="22"/>
                <w:highlight w:val="none"/>
                <w14:textFill>
                  <w14:solidFill>
                    <w14:schemeClr w14:val="tx1"/>
                  </w14:solidFill>
                </w14:textFill>
              </w:rPr>
              <w:t>分；缺乏现场资料，措施不完善，但基本符合规范要求，通过后期优化能够满足采购需求得</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3</w:t>
            </w:r>
            <w:r>
              <w:rPr>
                <w:rFonts w:hint="eastAsia" w:ascii="Calibri" w:hAnsi="Calibri" w:eastAsia="宋体" w:cs="Times New Roman"/>
                <w:color w:val="000000" w:themeColor="text1"/>
                <w:kern w:val="0"/>
                <w:szCs w:val="22"/>
                <w:highlight w:val="none"/>
                <w14:textFill>
                  <w14:solidFill>
                    <w14:schemeClr w14:val="tx1"/>
                  </w14:solidFill>
                </w14:textFill>
              </w:rPr>
              <w:t>分。没有内容不得分。</w:t>
            </w:r>
          </w:p>
        </w:tc>
      </w:tr>
      <w:tr w14:paraId="030DED81">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1204" w:type="dxa"/>
            <w:vMerge w:val="continue"/>
            <w:noWrap/>
            <w:vAlign w:val="center"/>
          </w:tcPr>
          <w:p w14:paraId="2C4FA834">
            <w:pPr>
              <w:jc w:val="left"/>
              <w:rPr>
                <w:rFonts w:ascii="Calibri" w:hAnsi="Calibri"/>
                <w:color w:val="000000" w:themeColor="text1"/>
                <w:highlight w:val="none"/>
                <w14:textFill>
                  <w14:solidFill>
                    <w14:schemeClr w14:val="tx1"/>
                  </w14:solidFill>
                </w14:textFill>
              </w:rPr>
            </w:pPr>
          </w:p>
        </w:tc>
        <w:tc>
          <w:tcPr>
            <w:tcW w:w="3297" w:type="dxa"/>
            <w:noWrap/>
            <w:vAlign w:val="center"/>
          </w:tcPr>
          <w:p w14:paraId="4371E856">
            <w:pPr>
              <w:jc w:val="left"/>
              <w:rPr>
                <w:rFonts w:ascii="Calibri" w:hAnsi="Calibri"/>
                <w:color w:val="000000" w:themeColor="text1"/>
                <w:highlight w:val="none"/>
                <w14:textFill>
                  <w14:solidFill>
                    <w14:schemeClr w14:val="tx1"/>
                  </w14:solidFill>
                </w14:textFill>
              </w:rPr>
            </w:pPr>
            <w:r>
              <w:rPr>
                <w:rFonts w:hint="eastAsia" w:ascii="Calibri" w:hAnsi="Calibri"/>
                <w:color w:val="000000" w:themeColor="text1"/>
                <w:highlight w:val="none"/>
                <w14:textFill>
                  <w14:solidFill>
                    <w14:schemeClr w14:val="tx1"/>
                  </w14:solidFill>
                </w14:textFill>
              </w:rPr>
              <w:t>后续服务</w:t>
            </w:r>
          </w:p>
          <w:p w14:paraId="690A8D15">
            <w:pPr>
              <w:jc w:val="left"/>
              <w:rPr>
                <w:rFonts w:ascii="Calibri" w:hAnsi="Calibri"/>
                <w:color w:val="000000" w:themeColor="text1"/>
                <w:highlight w:val="none"/>
                <w14:textFill>
                  <w14:solidFill>
                    <w14:schemeClr w14:val="tx1"/>
                  </w14:solidFill>
                </w14:textFill>
              </w:rPr>
            </w:pPr>
          </w:p>
        </w:tc>
        <w:tc>
          <w:tcPr>
            <w:tcW w:w="1175" w:type="dxa"/>
            <w:noWrap/>
            <w:vAlign w:val="center"/>
          </w:tcPr>
          <w:p w14:paraId="592259F7">
            <w:pPr>
              <w:jc w:val="center"/>
              <w:rPr>
                <w:rFonts w:ascii="Calibri" w:hAnsi="Calibri"/>
                <w:color w:val="000000" w:themeColor="text1"/>
                <w:highlight w:val="none"/>
                <w14:textFill>
                  <w14:solidFill>
                    <w14:schemeClr w14:val="tx1"/>
                  </w14:solidFill>
                </w14:textFill>
              </w:rPr>
            </w:pPr>
            <w:r>
              <w:rPr>
                <w:rFonts w:hint="eastAsia" w:ascii="Calibri" w:hAnsi="Calibri"/>
                <w:color w:val="000000" w:themeColor="text1"/>
                <w:highlight w:val="none"/>
                <w14:textFill>
                  <w14:solidFill>
                    <w14:schemeClr w14:val="tx1"/>
                  </w14:solidFill>
                </w14:textFill>
              </w:rPr>
              <w:t>5</w:t>
            </w:r>
            <w:r>
              <w:rPr>
                <w:rFonts w:ascii="Calibri" w:hAnsi="Calibri"/>
                <w:color w:val="000000" w:themeColor="text1"/>
                <w:highlight w:val="none"/>
                <w14:textFill>
                  <w14:solidFill>
                    <w14:schemeClr w14:val="tx1"/>
                  </w14:solidFill>
                </w14:textFill>
              </w:rPr>
              <w:t>.00</w:t>
            </w:r>
          </w:p>
        </w:tc>
        <w:tc>
          <w:tcPr>
            <w:tcW w:w="4714" w:type="dxa"/>
            <w:noWrap/>
            <w:vAlign w:val="center"/>
          </w:tcPr>
          <w:p w14:paraId="14654CFB">
            <w:pPr>
              <w:jc w:val="left"/>
              <w:rPr>
                <w:rFonts w:ascii="Calibri" w:hAnsi="Calibri"/>
                <w:color w:val="000000" w:themeColor="text1"/>
                <w:highlight w:val="none"/>
                <w14:textFill>
                  <w14:solidFill>
                    <w14:schemeClr w14:val="tx1"/>
                  </w14:solidFill>
                </w14:textFill>
              </w:rPr>
            </w:pPr>
            <w:r>
              <w:rPr>
                <w:rFonts w:hint="eastAsia" w:ascii="Calibri" w:hAnsi="Calibri" w:eastAsia="宋体" w:cs="Times New Roman"/>
                <w:color w:val="000000" w:themeColor="text1"/>
                <w:kern w:val="0"/>
                <w:szCs w:val="22"/>
                <w:highlight w:val="none"/>
                <w14:textFill>
                  <w14:solidFill>
                    <w14:schemeClr w14:val="tx1"/>
                  </w14:solidFill>
                </w14:textFill>
              </w:rPr>
              <w:t>根据供应商后续服务、服务标准、人员配备及相关保修措施、响应情况、培训方案等方面进行评审。</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内容</w:t>
            </w:r>
            <w:r>
              <w:rPr>
                <w:rFonts w:hint="eastAsia" w:ascii="Calibri" w:hAnsi="Calibri" w:eastAsia="宋体" w:cs="Times New Roman"/>
                <w:color w:val="000000" w:themeColor="text1"/>
                <w:kern w:val="0"/>
                <w:szCs w:val="22"/>
                <w:highlight w:val="none"/>
                <w14:textFill>
                  <w14:solidFill>
                    <w14:schemeClr w14:val="tx1"/>
                  </w14:solidFill>
                </w14:textFill>
              </w:rPr>
              <w:t>完整科学合理可行</w:t>
            </w:r>
            <w:r>
              <w:rPr>
                <w:rFonts w:hint="eastAsia" w:ascii="Calibri" w:hAnsi="Calibri" w:eastAsia="宋体" w:cs="Times New Roman"/>
                <w:color w:val="000000" w:themeColor="text1"/>
                <w:kern w:val="0"/>
                <w:szCs w:val="22"/>
                <w:highlight w:val="none"/>
                <w:lang w:eastAsia="zh-CN"/>
                <w14:textFill>
                  <w14:solidFill>
                    <w14:schemeClr w14:val="tx1"/>
                  </w14:solidFill>
                </w14:textFill>
              </w:rPr>
              <w:t>，</w:t>
            </w:r>
            <w:r>
              <w:rPr>
                <w:rFonts w:hint="default" w:ascii="Calibri" w:hAnsi="Calibri" w:eastAsia="宋体" w:cs="Times New Roman"/>
                <w:color w:val="000000" w:themeColor="text1"/>
                <w:kern w:val="0"/>
                <w:szCs w:val="22"/>
                <w:highlight w:val="none"/>
                <w:lang w:val="en-US" w:eastAsia="zh-CN"/>
                <w14:textFill>
                  <w14:solidFill>
                    <w14:schemeClr w14:val="tx1"/>
                  </w14:solidFill>
                </w14:textFill>
              </w:rPr>
              <w:t>优于采购需求</w:t>
            </w:r>
            <w:r>
              <w:rPr>
                <w:rFonts w:hint="eastAsia" w:ascii="Calibri" w:hAnsi="Calibri" w:eastAsia="宋体" w:cs="Times New Roman"/>
                <w:color w:val="000000" w:themeColor="text1"/>
                <w:kern w:val="0"/>
                <w:szCs w:val="22"/>
                <w:highlight w:val="none"/>
                <w14:textFill>
                  <w14:solidFill>
                    <w14:schemeClr w14:val="tx1"/>
                  </w14:solidFill>
                </w14:textFill>
              </w:rPr>
              <w:t>的得5分</w:t>
            </w:r>
            <w:r>
              <w:rPr>
                <w:rFonts w:hint="eastAsia" w:ascii="Calibri" w:hAnsi="Calibri" w:eastAsia="宋体" w:cs="Times New Roman"/>
                <w:color w:val="000000" w:themeColor="text1"/>
                <w:kern w:val="0"/>
                <w:szCs w:val="22"/>
                <w:highlight w:val="none"/>
                <w:lang w:eastAsia="zh-CN"/>
                <w14:textFill>
                  <w14:solidFill>
                    <w14:schemeClr w14:val="tx1"/>
                  </w14:solidFill>
                </w14:textFill>
              </w:rPr>
              <w:t>；</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内容</w:t>
            </w:r>
            <w:r>
              <w:rPr>
                <w:rFonts w:hint="eastAsia" w:ascii="Calibri" w:hAnsi="Calibri" w:eastAsia="宋体" w:cs="Times New Roman"/>
                <w:color w:val="000000" w:themeColor="text1"/>
                <w:kern w:val="0"/>
                <w:szCs w:val="22"/>
                <w:highlight w:val="none"/>
                <w14:textFill>
                  <w14:solidFill>
                    <w14:schemeClr w14:val="tx1"/>
                  </w14:solidFill>
                </w14:textFill>
              </w:rPr>
              <w:t>较为完整科学合理可行</w:t>
            </w:r>
            <w:r>
              <w:rPr>
                <w:rFonts w:hint="eastAsia" w:ascii="Calibri" w:hAnsi="Calibri" w:eastAsia="宋体" w:cs="Times New Roman"/>
                <w:color w:val="000000" w:themeColor="text1"/>
                <w:kern w:val="0"/>
                <w:szCs w:val="22"/>
                <w:highlight w:val="none"/>
                <w:lang w:eastAsia="zh-CN"/>
                <w14:textFill>
                  <w14:solidFill>
                    <w14:schemeClr w14:val="tx1"/>
                  </w14:solidFill>
                </w14:textFill>
              </w:rPr>
              <w:t>，</w:t>
            </w:r>
            <w:r>
              <w:rPr>
                <w:rFonts w:ascii="宋体" w:hAnsi="宋体" w:eastAsia="宋体" w:cs="宋体"/>
                <w:color w:val="000000" w:themeColor="text1"/>
                <w:kern w:val="2"/>
                <w:sz w:val="21"/>
                <w:szCs w:val="24"/>
                <w:highlight w:val="none"/>
                <w14:textFill>
                  <w14:solidFill>
                    <w14:schemeClr w14:val="tx1"/>
                  </w14:solidFill>
                </w14:textFill>
              </w:rPr>
              <w:t>能基本满足采购需求</w:t>
            </w:r>
            <w:r>
              <w:rPr>
                <w:rFonts w:hint="eastAsia" w:ascii="Calibri" w:hAnsi="Calibri" w:eastAsia="宋体" w:cs="Times New Roman"/>
                <w:color w:val="000000" w:themeColor="text1"/>
                <w:kern w:val="0"/>
                <w:szCs w:val="22"/>
                <w:highlight w:val="none"/>
                <w14:textFill>
                  <w14:solidFill>
                    <w14:schemeClr w14:val="tx1"/>
                  </w14:solidFill>
                </w14:textFill>
              </w:rPr>
              <w:t>的得3分</w:t>
            </w:r>
            <w:r>
              <w:rPr>
                <w:rFonts w:hint="eastAsia" w:ascii="Calibri" w:hAnsi="Calibri" w:eastAsia="宋体" w:cs="Times New Roman"/>
                <w:color w:val="000000" w:themeColor="text1"/>
                <w:kern w:val="0"/>
                <w:szCs w:val="22"/>
                <w:highlight w:val="none"/>
                <w:lang w:eastAsia="zh-CN"/>
                <w14:textFill>
                  <w14:solidFill>
                    <w14:schemeClr w14:val="tx1"/>
                  </w14:solidFill>
                </w14:textFill>
              </w:rPr>
              <w:t>；</w:t>
            </w:r>
            <w:r>
              <w:rPr>
                <w:rFonts w:hint="eastAsia" w:ascii="Calibri" w:hAnsi="Calibri" w:eastAsia="宋体" w:cs="Times New Roman"/>
                <w:color w:val="000000" w:themeColor="text1"/>
                <w:kern w:val="0"/>
                <w:szCs w:val="22"/>
                <w:highlight w:val="none"/>
                <w:lang w:val="en-US" w:eastAsia="zh-CN"/>
                <w14:textFill>
                  <w14:solidFill>
                    <w14:schemeClr w14:val="tx1"/>
                  </w14:solidFill>
                </w14:textFill>
              </w:rPr>
              <w:t>内容</w:t>
            </w:r>
            <w:r>
              <w:rPr>
                <w:rFonts w:hint="eastAsia" w:ascii="Calibri" w:hAnsi="Calibri" w:eastAsia="宋体" w:cs="Times New Roman"/>
                <w:color w:val="000000" w:themeColor="text1"/>
                <w:kern w:val="0"/>
                <w:szCs w:val="22"/>
                <w:highlight w:val="none"/>
                <w14:textFill>
                  <w14:solidFill>
                    <w14:schemeClr w14:val="tx1"/>
                  </w14:solidFill>
                </w14:textFill>
              </w:rPr>
              <w:t>完整科学合理可行较差</w:t>
            </w:r>
            <w:r>
              <w:rPr>
                <w:rFonts w:hint="eastAsia" w:ascii="Calibri" w:hAnsi="Calibri" w:eastAsia="宋体" w:cs="Times New Roman"/>
                <w:color w:val="000000" w:themeColor="text1"/>
                <w:kern w:val="0"/>
                <w:szCs w:val="22"/>
                <w:highlight w:val="none"/>
                <w:lang w:eastAsia="zh-CN"/>
                <w14:textFill>
                  <w14:solidFill>
                    <w14:schemeClr w14:val="tx1"/>
                  </w14:solidFill>
                </w14:textFill>
              </w:rPr>
              <w:t>，</w:t>
            </w:r>
            <w:r>
              <w:rPr>
                <w:rFonts w:hint="eastAsia" w:ascii="Calibri" w:hAnsi="Calibri" w:eastAsia="宋体" w:cs="Times New Roman"/>
                <w:color w:val="000000" w:themeColor="text1"/>
                <w:kern w:val="0"/>
                <w:szCs w:val="22"/>
                <w:highlight w:val="none"/>
                <w14:textFill>
                  <w14:solidFill>
                    <w14:schemeClr w14:val="tx1"/>
                  </w14:solidFill>
                </w14:textFill>
              </w:rPr>
              <w:t>通过后期优化能够满足采购需求得</w:t>
            </w:r>
            <w:r>
              <w:rPr>
                <w:rFonts w:hint="eastAsia" w:ascii="Calibri" w:hAnsi="Calibri" w:eastAsia="宋体" w:cs="Times New Roman"/>
                <w:color w:val="000000" w:themeColor="text1"/>
                <w:kern w:val="0"/>
                <w:szCs w:val="22"/>
                <w:highlight w:val="none"/>
                <w14:textFill>
                  <w14:solidFill>
                    <w14:schemeClr w14:val="tx1"/>
                  </w14:solidFill>
                </w14:textFill>
              </w:rPr>
              <w:t>得1分，</w:t>
            </w:r>
            <w:r>
              <w:rPr>
                <w:rFonts w:hint="eastAsia" w:ascii="Calibri" w:hAnsi="Calibri" w:eastAsia="宋体" w:cs="Times New Roman"/>
                <w:color w:val="000000" w:themeColor="text1"/>
                <w:kern w:val="0"/>
                <w:szCs w:val="22"/>
                <w:highlight w:val="none"/>
                <w14:textFill>
                  <w14:solidFill>
                    <w14:schemeClr w14:val="tx1"/>
                  </w14:solidFill>
                </w14:textFill>
              </w:rPr>
              <w:t>没有内容不得分。</w:t>
            </w:r>
          </w:p>
        </w:tc>
      </w:tr>
    </w:tbl>
    <w:p w14:paraId="4E309C7E">
      <w:pPr>
        <w:spacing w:line="560" w:lineRule="exact"/>
        <w:rPr>
          <w:b/>
          <w:color w:val="000000" w:themeColor="text1"/>
          <w:sz w:val="24"/>
          <w:szCs w:val="24"/>
          <w:highlight w:val="none"/>
          <w14:textFill>
            <w14:solidFill>
              <w14:schemeClr w14:val="tx1"/>
            </w14:solidFill>
          </w14:textFill>
        </w:rPr>
      </w:pPr>
      <w:r>
        <w:rPr>
          <w:rFonts w:hint="eastAsia" w:eastAsia="仿宋_GB2312"/>
          <w:b/>
          <w:color w:val="000000" w:themeColor="text1"/>
          <w:sz w:val="24"/>
          <w:highlight w:val="none"/>
          <w14:textFill>
            <w14:solidFill>
              <w14:schemeClr w14:val="tx1"/>
            </w14:solidFill>
          </w14:textFill>
        </w:rPr>
        <w:t>（三）评标结果。</w:t>
      </w:r>
      <w:r>
        <w:rPr>
          <w:rFonts w:hint="eastAsia"/>
          <w:color w:val="000000" w:themeColor="text1"/>
          <w:sz w:val="24"/>
          <w:highlight w:val="none"/>
          <w14:textFill>
            <w14:solidFill>
              <w14:schemeClr w14:val="tx1"/>
            </w14:solidFill>
          </w14:textFill>
        </w:rPr>
        <w:t>磋商小组按照本办法规定推荐成交候选人，并形成评标报告。</w:t>
      </w:r>
    </w:p>
    <w:p w14:paraId="5586D699">
      <w:pPr>
        <w:spacing w:line="500" w:lineRule="exact"/>
        <w:outlineLvl w:val="1"/>
        <w:rPr>
          <w:rFonts w:ascii="仿宋_GB2312" w:eastAsia="仿宋_GB2312"/>
          <w:b/>
          <w:color w:val="000000" w:themeColor="text1"/>
          <w:sz w:val="28"/>
          <w:highlight w:val="none"/>
          <w14:textFill>
            <w14:solidFill>
              <w14:schemeClr w14:val="tx1"/>
            </w14:solidFill>
          </w14:textFill>
        </w:rPr>
      </w:pPr>
      <w:r>
        <w:rPr>
          <w:rFonts w:hint="eastAsia" w:ascii="仿宋_GB2312" w:eastAsia="仿宋_GB2312"/>
          <w:b/>
          <w:color w:val="000000" w:themeColor="text1"/>
          <w:sz w:val="28"/>
          <w:highlight w:val="none"/>
          <w14:textFill>
            <w14:solidFill>
              <w14:schemeClr w14:val="tx1"/>
            </w14:solidFill>
          </w14:textFill>
        </w:rPr>
        <w:t>（四）政府采购政策功能落实</w:t>
      </w:r>
    </w:p>
    <w:p w14:paraId="519A48E7">
      <w:pPr>
        <w:spacing w:line="560" w:lineRule="exact"/>
        <w:ind w:firstLine="241"/>
        <w:rPr>
          <w:rFonts w:eastAsia="仿宋_GB2312"/>
          <w:b/>
          <w:bCs/>
          <w:color w:val="000000" w:themeColor="text1"/>
          <w:sz w:val="24"/>
          <w:highlight w:val="none"/>
          <w:u w:val="single"/>
          <w14:textFill>
            <w14:solidFill>
              <w14:schemeClr w14:val="tx1"/>
            </w14:solidFill>
          </w14:textFill>
        </w:rPr>
      </w:pPr>
      <w:r>
        <w:rPr>
          <w:rFonts w:hint="eastAsia" w:eastAsia="仿宋_GB2312"/>
          <w:b/>
          <w:bCs/>
          <w:color w:val="000000" w:themeColor="text1"/>
          <w:sz w:val="24"/>
          <w:highlight w:val="none"/>
          <w14:textFill>
            <w14:solidFill>
              <w14:schemeClr w14:val="tx1"/>
            </w14:solidFill>
          </w14:textFill>
        </w:rPr>
        <w:t>本项目落实的政府采购政策对应以下序号为</w:t>
      </w:r>
      <w:r>
        <w:rPr>
          <w:rFonts w:eastAsia="仿宋_GB2312"/>
          <w:b/>
          <w:bCs/>
          <w:color w:val="000000" w:themeColor="text1"/>
          <w:sz w:val="24"/>
          <w:highlight w:val="none"/>
          <w:u w:val="single"/>
          <w14:textFill>
            <w14:solidFill>
              <w14:schemeClr w14:val="tx1"/>
            </w14:solidFill>
          </w14:textFill>
        </w:rPr>
        <w:t>1</w:t>
      </w:r>
      <w:r>
        <w:rPr>
          <w:rFonts w:hint="eastAsia" w:eastAsia="仿宋_GB2312"/>
          <w:b/>
          <w:bCs/>
          <w:color w:val="000000" w:themeColor="text1"/>
          <w:sz w:val="24"/>
          <w:highlight w:val="none"/>
          <w:u w:val="single"/>
          <w14:textFill>
            <w14:solidFill>
              <w14:schemeClr w14:val="tx1"/>
            </w14:solidFill>
          </w14:textFill>
        </w:rPr>
        <w:t>、</w:t>
      </w:r>
      <w:r>
        <w:rPr>
          <w:rFonts w:eastAsia="仿宋_GB2312"/>
          <w:b/>
          <w:bCs/>
          <w:color w:val="000000" w:themeColor="text1"/>
          <w:sz w:val="24"/>
          <w:highlight w:val="none"/>
          <w:u w:val="single"/>
          <w14:textFill>
            <w14:solidFill>
              <w14:schemeClr w14:val="tx1"/>
            </w14:solidFill>
          </w14:textFill>
        </w:rPr>
        <w:t>2</w:t>
      </w:r>
      <w:r>
        <w:rPr>
          <w:rFonts w:hint="eastAsia" w:eastAsia="仿宋_GB2312"/>
          <w:b/>
          <w:bCs/>
          <w:color w:val="000000" w:themeColor="text1"/>
          <w:sz w:val="24"/>
          <w:highlight w:val="none"/>
          <w:u w:val="single"/>
          <w14:textFill>
            <w14:solidFill>
              <w14:schemeClr w14:val="tx1"/>
            </w14:solidFill>
          </w14:textFill>
        </w:rPr>
        <w:t>、3、4</w:t>
      </w:r>
    </w:p>
    <w:p w14:paraId="49747255">
      <w:pPr>
        <w:spacing w:line="360" w:lineRule="auto"/>
        <w:ind w:firstLine="480"/>
        <w:rPr>
          <w:rFonts w:cs="仿宋_GB2312"/>
          <w:color w:val="000000" w:themeColor="text1"/>
          <w:sz w:val="24"/>
          <w:highlight w:val="none"/>
          <w14:textFill>
            <w14:solidFill>
              <w14:schemeClr w14:val="tx1"/>
            </w14:solidFill>
          </w14:textFill>
        </w:rPr>
      </w:pPr>
      <w:r>
        <w:rPr>
          <w:rFonts w:hint="eastAsia" w:cs="仿宋_GB2312"/>
          <w:color w:val="000000" w:themeColor="text1"/>
          <w:sz w:val="24"/>
          <w:highlight w:val="none"/>
          <w14:textFill>
            <w14:solidFill>
              <w14:schemeClr w14:val="tx1"/>
            </w14:solidFill>
          </w14:textFill>
        </w:rPr>
        <w:t>1.采购本国货物、工程和服务</w:t>
      </w:r>
    </w:p>
    <w:p w14:paraId="0181DADE">
      <w:pPr>
        <w:spacing w:line="360" w:lineRule="auto"/>
        <w:ind w:firstLine="480"/>
        <w:rPr>
          <w:rFonts w:cs="仿宋_GB2312"/>
          <w:color w:val="000000" w:themeColor="text1"/>
          <w:sz w:val="24"/>
          <w:highlight w:val="none"/>
          <w14:textFill>
            <w14:solidFill>
              <w14:schemeClr w14:val="tx1"/>
            </w14:solidFill>
          </w14:textFill>
        </w:rPr>
      </w:pPr>
      <w:r>
        <w:rPr>
          <w:rFonts w:hint="eastAsia" w:cs="仿宋_GB2312"/>
          <w:color w:val="000000" w:themeColor="text1"/>
          <w:sz w:val="24"/>
          <w:highlight w:val="none"/>
          <w14:textFill>
            <w14:solidFill>
              <w14:schemeClr w14:val="tx1"/>
            </w14:solidFill>
          </w14:textFill>
        </w:rPr>
        <w:t>政府采购应当采购本国货物、工程和服务，但有《中华人民共和国政府采购法》第十条规定情形的除外。如采购进口产品的，应当符合《政府采购进口产品管理办法》（财库〔2007〕119 号文）、《关于政府采购进口产品管理有关问题的通知》（财办库〔2008〕248号文）等相关规定。是否采购进口产品以采购需求中确定的为准。</w:t>
      </w:r>
    </w:p>
    <w:p w14:paraId="6F6B9F9D">
      <w:pPr>
        <w:spacing w:line="360" w:lineRule="auto"/>
        <w:ind w:firstLine="480"/>
        <w:rPr>
          <w:rFonts w:cs="仿宋_GB2312"/>
          <w:color w:val="000000" w:themeColor="text1"/>
          <w:sz w:val="24"/>
          <w:highlight w:val="none"/>
          <w14:textFill>
            <w14:solidFill>
              <w14:schemeClr w14:val="tx1"/>
            </w14:solidFill>
          </w14:textFill>
        </w:rPr>
      </w:pPr>
      <w:r>
        <w:rPr>
          <w:rFonts w:hint="eastAsia" w:cs="仿宋_GB2312"/>
          <w:color w:val="000000" w:themeColor="text1"/>
          <w:sz w:val="24"/>
          <w:highlight w:val="none"/>
          <w14:textFill>
            <w14:solidFill>
              <w14:schemeClr w14:val="tx1"/>
            </w14:solidFill>
          </w14:textFill>
        </w:rPr>
        <w:t>2.</w:t>
      </w:r>
      <w:r>
        <w:rPr>
          <w:rFonts w:cs="仿宋_GB2312"/>
          <w:color w:val="000000" w:themeColor="text1"/>
          <w:sz w:val="24"/>
          <w:highlight w:val="none"/>
          <w14:textFill>
            <w14:solidFill>
              <w14:schemeClr w14:val="tx1"/>
            </w14:solidFill>
          </w14:textFill>
        </w:rPr>
        <w:t>中小企业政策</w:t>
      </w:r>
    </w:p>
    <w:p w14:paraId="4DF32F82">
      <w:pPr>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本项目按以下第</w:t>
      </w:r>
      <w:r>
        <w:rPr>
          <w:rFonts w:hint="eastAsia"/>
          <w:color w:val="000000" w:themeColor="text1"/>
          <w:sz w:val="24"/>
          <w:highlight w:val="none"/>
          <w:u w:val="single"/>
          <w14:textFill>
            <w14:solidFill>
              <w14:schemeClr w14:val="tx1"/>
            </w14:solidFill>
          </w14:textFill>
        </w:rPr>
        <w:t>（</w:t>
      </w:r>
      <w:r>
        <w:rPr>
          <w:color w:val="000000" w:themeColor="text1"/>
          <w:sz w:val="24"/>
          <w:highlight w:val="none"/>
          <w:u w:val="single"/>
          <w14:textFill>
            <w14:solidFill>
              <w14:schemeClr w14:val="tx1"/>
            </w14:solidFill>
          </w14:textFill>
        </w:rPr>
        <w:t>1</w:t>
      </w:r>
      <w:r>
        <w:rPr>
          <w:rFonts w:hint="eastAsia"/>
          <w:color w:val="000000" w:themeColor="text1"/>
          <w:sz w:val="24"/>
          <w:highlight w:val="none"/>
          <w:u w:val="single"/>
          <w14:textFill>
            <w14:solidFill>
              <w14:schemeClr w14:val="tx1"/>
            </w14:solidFill>
          </w14:textFill>
        </w:rPr>
        <w:t>）</w:t>
      </w:r>
      <w:r>
        <w:rPr>
          <w:rFonts w:hint="eastAsia"/>
          <w:color w:val="000000" w:themeColor="text1"/>
          <w:sz w:val="24"/>
          <w:highlight w:val="none"/>
          <w14:textFill>
            <w14:solidFill>
              <w14:schemeClr w14:val="tx1"/>
            </w14:solidFill>
          </w14:textFill>
        </w:rPr>
        <w:t>种政策确定本项目落实的中小企业政策：</w:t>
      </w:r>
    </w:p>
    <w:p w14:paraId="415A338F">
      <w:pPr>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（1）本项目专门面向中小企业（含监狱企业、残疾人福利企业）采购。</w:t>
      </w:r>
    </w:p>
    <w:p w14:paraId="42DCF9E5">
      <w:pPr>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（2）投标人提供的服务符合规定情形的，对小微企业报价给予扣除（扣除比例详见“投标人须知”-“政府采购政策”相关条款），用扣除后的价格参加评审。</w:t>
      </w:r>
    </w:p>
    <w:p w14:paraId="4746EA7F">
      <w:pPr>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投标人提供的服务符合下列情形的，对小微企业报价给予</w:t>
      </w:r>
      <w:r>
        <w:rPr>
          <w:rFonts w:hint="eastAsia"/>
          <w:color w:val="000000" w:themeColor="text1"/>
          <w:sz w:val="24"/>
          <w:highlight w:val="none"/>
          <w:u w:val="single"/>
          <w14:textFill>
            <w14:solidFill>
              <w14:schemeClr w14:val="tx1"/>
            </w14:solidFill>
          </w14:textFill>
        </w:rPr>
        <w:t xml:space="preserve"> / </w:t>
      </w:r>
      <w:r>
        <w:rPr>
          <w:rFonts w:hint="eastAsia"/>
          <w:color w:val="000000" w:themeColor="text1"/>
          <w:sz w:val="24"/>
          <w:highlight w:val="none"/>
          <w14:textFill>
            <w14:solidFill>
              <w14:schemeClr w14:val="tx1"/>
            </w14:solidFill>
          </w14:textFill>
        </w:rPr>
        <w:t>%的扣除，用扣除后的价格参加评审。</w:t>
      </w:r>
    </w:p>
    <w:p w14:paraId="7ECB7C66">
      <w:pPr>
        <w:spacing w:line="360" w:lineRule="auto"/>
        <w:ind w:firstLine="480"/>
        <w:rPr>
          <w:color w:val="000000" w:themeColor="text1"/>
          <w:sz w:val="24"/>
          <w:highlight w:val="none"/>
          <w14:textFill>
            <w14:solidFill>
              <w14:schemeClr w14:val="tx1"/>
            </w14:solidFill>
          </w14:textFill>
        </w:rPr>
      </w:pPr>
      <w:r>
        <w:rPr>
          <w:rFonts w:hint="eastAsia" w:cs="仿宋_GB2312"/>
          <w:color w:val="000000" w:themeColor="text1"/>
          <w:sz w:val="24"/>
          <w:highlight w:val="none"/>
          <w14:textFill>
            <w14:solidFill>
              <w14:schemeClr w14:val="tx1"/>
            </w14:solidFill>
          </w14:textFill>
        </w:rPr>
        <w:t>在工程采购项目中，工程由中小企业承建，即工程施工单位为中小企业。</w:t>
      </w:r>
    </w:p>
    <w:p w14:paraId="07701CBF">
      <w:pPr>
        <w:spacing w:line="360" w:lineRule="auto"/>
        <w:ind w:firstLine="480"/>
        <w:rPr>
          <w:color w:val="000000" w:themeColor="text1"/>
          <w:sz w:val="24"/>
          <w:highlight w:val="none"/>
          <w14:textFill>
            <w14:solidFill>
              <w14:schemeClr w14:val="tx1"/>
            </w14:solidFill>
          </w14:textFill>
        </w:rPr>
      </w:pPr>
      <w:r>
        <w:rPr>
          <w:rFonts w:hint="eastAsia" w:cs="仿宋_GB2312"/>
          <w:color w:val="000000" w:themeColor="text1"/>
          <w:sz w:val="24"/>
          <w:highlight w:val="none"/>
          <w14:textFill>
            <w14:solidFill>
              <w14:schemeClr w14:val="tx1"/>
            </w14:solidFill>
          </w14:textFill>
        </w:rPr>
        <w:t>注：①参加投标的中小企业，应当按照《政府采购促进中小企业发展管理办法》（财库〔2020〕46号）规定，出具《中小企业声明函》，中小企业划型依据《关于印发中小企业划型标准规定的通知》（工信部联企业〔2011〕300 号）。</w:t>
      </w:r>
    </w:p>
    <w:p w14:paraId="020AD460">
      <w:pPr>
        <w:spacing w:line="360" w:lineRule="auto"/>
        <w:ind w:firstLine="480"/>
        <w:rPr>
          <w:color w:val="000000" w:themeColor="text1"/>
          <w:sz w:val="24"/>
          <w:highlight w:val="none"/>
          <w14:textFill>
            <w14:solidFill>
              <w14:schemeClr w14:val="tx1"/>
            </w14:solidFill>
          </w14:textFill>
        </w:rPr>
      </w:pPr>
      <w:r>
        <w:rPr>
          <w:rFonts w:hint="eastAsia" w:cs="仿宋_GB2312"/>
          <w:color w:val="000000" w:themeColor="text1"/>
          <w:sz w:val="24"/>
          <w:highlight w:val="none"/>
          <w14:textFill>
            <w14:solidFill>
              <w14:schemeClr w14:val="tx1"/>
            </w14:solidFill>
          </w14:textFill>
        </w:rPr>
        <w:t>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投标文件中上传加盖出具单位公章的电子件）。</w:t>
      </w:r>
    </w:p>
    <w:p w14:paraId="05C901CE">
      <w:pPr>
        <w:spacing w:line="360" w:lineRule="auto"/>
        <w:ind w:firstLine="480"/>
        <w:rPr>
          <w:rFonts w:cs="仿宋_GB2312"/>
          <w:color w:val="000000" w:themeColor="text1"/>
          <w:sz w:val="24"/>
          <w:highlight w:val="none"/>
          <w14:textFill>
            <w14:solidFill>
              <w14:schemeClr w14:val="tx1"/>
            </w14:solidFill>
          </w14:textFill>
        </w:rPr>
      </w:pPr>
      <w:r>
        <w:rPr>
          <w:rFonts w:hint="eastAsia" w:cs="仿宋_GB2312"/>
          <w:color w:val="000000" w:themeColor="text1"/>
          <w:sz w:val="24"/>
          <w:highlight w:val="none"/>
          <w14:textFill>
            <w14:solidFill>
              <w14:schemeClr w14:val="tx1"/>
            </w14:solidFill>
          </w14:textFill>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154532AB">
      <w:pPr>
        <w:pStyle w:val="39"/>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3.政府采购节能产品、环境标志产品</w:t>
      </w:r>
    </w:p>
    <w:p w14:paraId="54D6FD39">
      <w:pPr>
        <w:pStyle w:val="39"/>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3EC32AB">
      <w:pPr>
        <w:pStyle w:val="39"/>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（2）采购人拟采购的产品属于政府强制采购的节能产品品目清单范围的，投标人须提供国家确定的认证机构出具的、处于有效期之内的节能产品认证证书的，否则无效标处理。</w:t>
      </w:r>
    </w:p>
    <w:p w14:paraId="253C332C">
      <w:pPr>
        <w:pStyle w:val="39"/>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（3）采购人拟采购的产品属于优先采购的节能环保品目清单范围的，按以下条件优先采购（本项目工程量清单中涉及材料：</w:t>
      </w:r>
      <w:r>
        <w:rPr>
          <w:rFonts w:hint="eastAsia" w:ascii="宋体" w:hAnsi="宋体" w:cs="宋体"/>
          <w:b/>
          <w:bCs/>
          <w:color w:val="000000" w:themeColor="text1"/>
          <w:sz w:val="24"/>
          <w:szCs w:val="24"/>
          <w:highlight w:val="none"/>
          <w14:textFill>
            <w14:solidFill>
              <w14:schemeClr w14:val="tx1"/>
            </w14:solidFill>
          </w14:textFill>
        </w:rPr>
        <w:t>商品混凝土属于政府优先采购的环保品目清单范围内</w:t>
      </w:r>
      <w:r>
        <w:rPr>
          <w:rFonts w:hint="eastAsia" w:ascii="宋体" w:hAnsi="宋体" w:cs="宋体"/>
          <w:color w:val="000000" w:themeColor="text1"/>
          <w:sz w:val="24"/>
          <w:szCs w:val="24"/>
          <w:highlight w:val="none"/>
          <w14:textFill>
            <w14:solidFill>
              <w14:schemeClr w14:val="tx1"/>
            </w14:solidFill>
          </w14:textFill>
        </w:rPr>
        <w:t>）：</w:t>
      </w:r>
    </w:p>
    <w:p w14:paraId="79CB930D">
      <w:pPr>
        <w:pStyle w:val="39"/>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采用综合评分法的项目，对提供有效节能环保证书的投标人加分；</w:t>
      </w:r>
    </w:p>
    <w:p w14:paraId="24C68437">
      <w:pPr>
        <w:pStyle w:val="39"/>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采用最低评标价法的项目，同等条件下优先推荐提供有效节能环保证书多的投标人为中标人。</w:t>
      </w:r>
    </w:p>
    <w:p w14:paraId="7862B94B">
      <w:pPr>
        <w:pStyle w:val="39"/>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4.商品包装、快递包装政府采购需求标准（试行）</w:t>
      </w:r>
    </w:p>
    <w:p w14:paraId="5874A76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助力打好污染防治攻坚战，推广使用绿色包装，根据财政部印发的《商品包装政府采购需求标准（试行）》、《快递包装政府采购需求标准（试行）》，如本项目涉及商品包装和快递包装的，具体需求详见第四章采购需求。</w:t>
      </w:r>
    </w:p>
    <w:p w14:paraId="43B600E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5、绿色数据中心政府采购需求标准（试行）</w:t>
      </w:r>
    </w:p>
    <w:p w14:paraId="0338CAE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为加快数据中心绿色转型，根据财政部 生态环境部 工业和信息化部关于印发《绿色数据中心政府采购需求标准（试行）》的通知），本项目如涉及绿色数据中心，具体需求详见第四章采购需求。</w:t>
      </w:r>
    </w:p>
    <w:p w14:paraId="706958FE">
      <w:pPr>
        <w:ind w:firstLine="480" w:firstLineChars="200"/>
        <w:rPr>
          <w:rFonts w:ascii="宋体" w:hAnsi="宋体" w:cs="宋体"/>
          <w:color w:val="000000" w:themeColor="text1"/>
          <w:sz w:val="24"/>
          <w:szCs w:val="24"/>
          <w:highlight w:val="none"/>
          <w14:textFill>
            <w14:solidFill>
              <w14:schemeClr w14:val="tx1"/>
            </w14:solidFill>
          </w14:textFill>
        </w:rPr>
      </w:pPr>
    </w:p>
    <w:p w14:paraId="761F0F87">
      <w:pPr>
        <w:rPr>
          <w:color w:val="000000" w:themeColor="text1"/>
          <w:szCs w:val="21"/>
          <w:highlight w:val="none"/>
          <w14:textFill>
            <w14:solidFill>
              <w14:schemeClr w14:val="tx1"/>
            </w14:solidFill>
          </w14:textFill>
        </w:rPr>
      </w:pPr>
    </w:p>
    <w:p w14:paraId="12C102F7">
      <w:pPr>
        <w:rPr>
          <w:color w:val="000000" w:themeColor="text1"/>
          <w:szCs w:val="21"/>
          <w:highlight w:val="none"/>
          <w14:textFill>
            <w14:solidFill>
              <w14:schemeClr w14:val="tx1"/>
            </w14:solidFill>
          </w14:textFill>
        </w:rPr>
      </w:pPr>
    </w:p>
    <w:p w14:paraId="103DF0AF">
      <w:pPr>
        <w:keepNext/>
        <w:jc w:val="center"/>
        <w:outlineLvl w:val="0"/>
        <w:rPr>
          <w:rFonts w:eastAsia="黑体"/>
          <w:bCs/>
          <w:color w:val="000000" w:themeColor="text1"/>
          <w:sz w:val="44"/>
          <w:szCs w:val="28"/>
          <w:highlight w:val="none"/>
          <w14:textFill>
            <w14:solidFill>
              <w14:schemeClr w14:val="tx1"/>
            </w14:solidFill>
          </w14:textFill>
        </w:rPr>
      </w:pPr>
      <w:bookmarkStart w:id="233" w:name="_Toc4395"/>
      <w:r>
        <w:rPr>
          <w:rFonts w:hint="eastAsia" w:eastAsia="黑体"/>
          <w:bCs/>
          <w:color w:val="000000" w:themeColor="text1"/>
          <w:sz w:val="44"/>
          <w:szCs w:val="28"/>
          <w:highlight w:val="none"/>
          <w14:textFill>
            <w14:solidFill>
              <w14:schemeClr w14:val="tx1"/>
            </w14:solidFill>
          </w14:textFill>
        </w:rPr>
        <w:br w:type="page" w:clear="all"/>
      </w:r>
      <w:bookmarkStart w:id="234" w:name="_Toc17794"/>
      <w:r>
        <w:rPr>
          <w:rFonts w:hint="eastAsia" w:eastAsia="黑体"/>
          <w:bCs/>
          <w:color w:val="000000" w:themeColor="text1"/>
          <w:sz w:val="44"/>
          <w:szCs w:val="28"/>
          <w:highlight w:val="none"/>
          <w14:textFill>
            <w14:solidFill>
              <w14:schemeClr w14:val="tx1"/>
            </w14:solidFill>
          </w14:textFill>
        </w:rPr>
        <w:t xml:space="preserve">第六章  </w:t>
      </w:r>
      <w:bookmarkEnd w:id="225"/>
      <w:bookmarkEnd w:id="226"/>
      <w:bookmarkEnd w:id="227"/>
      <w:r>
        <w:rPr>
          <w:rFonts w:hint="eastAsia" w:eastAsia="黑体"/>
          <w:bCs/>
          <w:color w:val="000000" w:themeColor="text1"/>
          <w:sz w:val="44"/>
          <w:szCs w:val="28"/>
          <w:highlight w:val="none"/>
          <w14:textFill>
            <w14:solidFill>
              <w14:schemeClr w14:val="tx1"/>
            </w14:solidFill>
          </w14:textFill>
        </w:rPr>
        <w:t>响应文件格式</w:t>
      </w:r>
      <w:bookmarkEnd w:id="233"/>
      <w:bookmarkEnd w:id="234"/>
    </w:p>
    <w:p w14:paraId="27A0D724">
      <w:pPr>
        <w:jc w:val="center"/>
        <w:rPr>
          <w:b/>
          <w:color w:val="000000" w:themeColor="text1"/>
          <w:sz w:val="72"/>
          <w:szCs w:val="21"/>
          <w:highlight w:val="none"/>
          <w14:textFill>
            <w14:solidFill>
              <w14:schemeClr w14:val="tx1"/>
            </w14:solidFill>
          </w14:textFill>
        </w:rPr>
      </w:pPr>
      <w:bookmarkStart w:id="235" w:name="_Hlt26955039"/>
      <w:bookmarkEnd w:id="235"/>
      <w:bookmarkStart w:id="236" w:name="_Hlt26671244"/>
      <w:bookmarkEnd w:id="236"/>
      <w:bookmarkStart w:id="237" w:name="_Toc26554094"/>
      <w:bookmarkStart w:id="238" w:name="_Toc120614282"/>
      <w:bookmarkStart w:id="239" w:name="_Toc49090576"/>
    </w:p>
    <w:p w14:paraId="623FA48B">
      <w:pPr>
        <w:jc w:val="center"/>
        <w:rPr>
          <w:b/>
          <w:color w:val="000000" w:themeColor="text1"/>
          <w:sz w:val="72"/>
          <w:szCs w:val="21"/>
          <w:highlight w:val="none"/>
          <w14:textFill>
            <w14:solidFill>
              <w14:schemeClr w14:val="tx1"/>
            </w14:solidFill>
          </w14:textFill>
        </w:rPr>
      </w:pPr>
    </w:p>
    <w:p w14:paraId="1576736C">
      <w:pPr>
        <w:jc w:val="center"/>
        <w:rPr>
          <w:b/>
          <w:color w:val="000000" w:themeColor="text1"/>
          <w:sz w:val="72"/>
          <w:szCs w:val="21"/>
          <w:highlight w:val="none"/>
          <w14:textFill>
            <w14:solidFill>
              <w14:schemeClr w14:val="tx1"/>
            </w14:solidFill>
          </w14:textFill>
        </w:rPr>
      </w:pPr>
    </w:p>
    <w:p w14:paraId="58A8469C">
      <w:pPr>
        <w:jc w:val="center"/>
        <w:rPr>
          <w:b/>
          <w:color w:val="000000" w:themeColor="text1"/>
          <w:sz w:val="72"/>
          <w:szCs w:val="21"/>
          <w:highlight w:val="none"/>
          <w14:textFill>
            <w14:solidFill>
              <w14:schemeClr w14:val="tx1"/>
            </w14:solidFill>
          </w14:textFill>
        </w:rPr>
      </w:pPr>
    </w:p>
    <w:p w14:paraId="1227C957">
      <w:pPr>
        <w:jc w:val="center"/>
        <w:rPr>
          <w:rFonts w:ascii="宋体" w:hAnsi="宋体" w:cs="宋体"/>
          <w:b/>
          <w:color w:val="000000" w:themeColor="text1"/>
          <w:sz w:val="72"/>
          <w:szCs w:val="21"/>
          <w:highlight w:val="none"/>
          <w14:textFill>
            <w14:solidFill>
              <w14:schemeClr w14:val="tx1"/>
            </w14:solidFill>
          </w14:textFill>
        </w:rPr>
      </w:pPr>
      <w:r>
        <w:rPr>
          <w:rFonts w:hint="eastAsia" w:ascii="宋体" w:hAnsi="宋体" w:cs="宋体"/>
          <w:b/>
          <w:color w:val="000000" w:themeColor="text1"/>
          <w:sz w:val="72"/>
          <w:szCs w:val="21"/>
          <w:highlight w:val="none"/>
          <w14:textFill>
            <w14:solidFill>
              <w14:schemeClr w14:val="tx1"/>
            </w14:solidFill>
          </w14:textFill>
        </w:rPr>
        <w:t>响  应  文  件</w:t>
      </w:r>
    </w:p>
    <w:p w14:paraId="2CF523CA">
      <w:pPr>
        <w:jc w:val="center"/>
        <w:rPr>
          <w:rFonts w:ascii="宋体" w:hAnsi="宋体" w:cs="宋体"/>
          <w:b/>
          <w:color w:val="000000" w:themeColor="text1"/>
          <w:sz w:val="72"/>
          <w:szCs w:val="21"/>
          <w:highlight w:val="none"/>
          <w14:textFill>
            <w14:solidFill>
              <w14:schemeClr w14:val="tx1"/>
            </w14:solidFill>
          </w14:textFill>
        </w:rPr>
      </w:pPr>
    </w:p>
    <w:p w14:paraId="69D58D2E">
      <w:pPr>
        <w:jc w:val="center"/>
        <w:rPr>
          <w:rFonts w:ascii="宋体" w:hAnsi="宋体" w:cs="宋体"/>
          <w:b/>
          <w:color w:val="000000" w:themeColor="text1"/>
          <w:sz w:val="72"/>
          <w:szCs w:val="21"/>
          <w:highlight w:val="none"/>
          <w14:textFill>
            <w14:solidFill>
              <w14:schemeClr w14:val="tx1"/>
            </w14:solidFill>
          </w14:textFill>
        </w:rPr>
      </w:pPr>
    </w:p>
    <w:p w14:paraId="019BC26D">
      <w:pPr>
        <w:jc w:val="center"/>
        <w:rPr>
          <w:rFonts w:ascii="宋体" w:hAnsi="宋体" w:cs="宋体"/>
          <w:b/>
          <w:color w:val="000000" w:themeColor="text1"/>
          <w:sz w:val="36"/>
          <w:szCs w:val="21"/>
          <w:highlight w:val="none"/>
          <w14:textFill>
            <w14:solidFill>
              <w14:schemeClr w14:val="tx1"/>
            </w14:solidFill>
          </w14:textFill>
        </w:rPr>
      </w:pPr>
    </w:p>
    <w:p w14:paraId="35BBB9C8">
      <w:pPr>
        <w:jc w:val="center"/>
        <w:rPr>
          <w:rFonts w:ascii="宋体" w:hAnsi="宋体" w:cs="宋体"/>
          <w:b/>
          <w:color w:val="000000" w:themeColor="text1"/>
          <w:sz w:val="36"/>
          <w:szCs w:val="21"/>
          <w:highlight w:val="none"/>
          <w14:textFill>
            <w14:solidFill>
              <w14:schemeClr w14:val="tx1"/>
            </w14:solidFill>
          </w14:textFill>
        </w:rPr>
      </w:pPr>
    </w:p>
    <w:p w14:paraId="04280B1B">
      <w:pPr>
        <w:jc w:val="center"/>
        <w:rPr>
          <w:rFonts w:ascii="宋体" w:hAnsi="宋体" w:cs="宋体"/>
          <w:b/>
          <w:color w:val="000000" w:themeColor="text1"/>
          <w:sz w:val="36"/>
          <w:szCs w:val="21"/>
          <w:highlight w:val="none"/>
          <w14:textFill>
            <w14:solidFill>
              <w14:schemeClr w14:val="tx1"/>
            </w14:solidFill>
          </w14:textFill>
        </w:rPr>
      </w:pPr>
    </w:p>
    <w:p w14:paraId="2E055C3D">
      <w:pPr>
        <w:ind w:firstLine="1084"/>
        <w:rPr>
          <w:rFonts w:ascii="宋体" w:hAnsi="宋体" w:cs="宋体"/>
          <w:b/>
          <w:color w:val="000000" w:themeColor="text1"/>
          <w:sz w:val="36"/>
          <w:highlight w:val="non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项 目 名 称：</w:t>
      </w:r>
    </w:p>
    <w:p w14:paraId="0283C329">
      <w:pPr>
        <w:ind w:firstLine="1084"/>
        <w:rPr>
          <w:rFonts w:ascii="宋体" w:hAnsi="宋体" w:cs="宋体"/>
          <w:b/>
          <w:color w:val="000000" w:themeColor="text1"/>
          <w:sz w:val="36"/>
          <w:highlight w:val="none"/>
          <w:u w:val="singl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项 目 编 号：</w:t>
      </w:r>
    </w:p>
    <w:p w14:paraId="1357554C">
      <w:pPr>
        <w:rPr>
          <w:rFonts w:ascii="宋体" w:hAnsi="宋体" w:cs="宋体"/>
          <w:b/>
          <w:color w:val="000000" w:themeColor="text1"/>
          <w:sz w:val="36"/>
          <w:highlight w:val="none"/>
          <w:u w:val="singl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 xml:space="preserve">      投标人名称 ：</w:t>
      </w:r>
      <w:r>
        <w:rPr>
          <w:rFonts w:hint="eastAsia" w:ascii="宋体" w:hAnsi="宋体" w:cs="宋体"/>
          <w:b/>
          <w:color w:val="000000" w:themeColor="text1"/>
          <w:sz w:val="36"/>
          <w:highlight w:val="none"/>
          <w:u w:val="single"/>
          <w14:textFill>
            <w14:solidFill>
              <w14:schemeClr w14:val="tx1"/>
            </w14:solidFill>
          </w14:textFill>
        </w:rPr>
        <w:t>（加盖CA电子公章）</w:t>
      </w:r>
    </w:p>
    <w:p w14:paraId="01309551">
      <w:pPr>
        <w:rPr>
          <w:rFonts w:ascii="宋体" w:hAnsi="宋体" w:cs="宋体"/>
          <w:b/>
          <w:color w:val="000000" w:themeColor="text1"/>
          <w:sz w:val="36"/>
          <w:highlight w:val="none"/>
          <w:u w:val="singl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 xml:space="preserve">      日      期 ：</w:t>
      </w:r>
    </w:p>
    <w:p w14:paraId="7118E306">
      <w:pPr>
        <w:spacing w:line="440" w:lineRule="exact"/>
        <w:jc w:val="center"/>
        <w:rPr>
          <w:b/>
          <w:bCs/>
          <w:color w:val="000000" w:themeColor="text1"/>
          <w:sz w:val="32"/>
          <w:szCs w:val="32"/>
          <w:highlight w:val="none"/>
          <w14:textFill>
            <w14:solidFill>
              <w14:schemeClr w14:val="tx1"/>
            </w14:solidFill>
          </w14:textFill>
        </w:rPr>
      </w:pPr>
    </w:p>
    <w:p w14:paraId="4988C046">
      <w:pPr>
        <w:spacing w:line="440" w:lineRule="exact"/>
        <w:jc w:val="center"/>
        <w:rPr>
          <w:b/>
          <w:bCs/>
          <w:color w:val="000000" w:themeColor="text1"/>
          <w:sz w:val="32"/>
          <w:szCs w:val="32"/>
          <w:highlight w:val="none"/>
          <w14:textFill>
            <w14:solidFill>
              <w14:schemeClr w14:val="tx1"/>
            </w14:solidFill>
          </w14:textFill>
        </w:rPr>
      </w:pPr>
    </w:p>
    <w:p w14:paraId="674D194D">
      <w:pPr>
        <w:spacing w:line="440" w:lineRule="exact"/>
        <w:jc w:val="center"/>
        <w:rPr>
          <w:b/>
          <w:bCs/>
          <w:color w:val="000000" w:themeColor="text1"/>
          <w:sz w:val="32"/>
          <w:szCs w:val="32"/>
          <w:highlight w:val="none"/>
          <w14:textFill>
            <w14:solidFill>
              <w14:schemeClr w14:val="tx1"/>
            </w14:solidFill>
          </w14:textFill>
        </w:rPr>
      </w:pPr>
    </w:p>
    <w:p w14:paraId="35662C5D">
      <w:pPr>
        <w:spacing w:line="440" w:lineRule="exact"/>
        <w:rPr>
          <w:b/>
          <w:bCs/>
          <w:color w:val="000000" w:themeColor="text1"/>
          <w:sz w:val="32"/>
          <w:szCs w:val="32"/>
          <w:highlight w:val="none"/>
          <w14:textFill>
            <w14:solidFill>
              <w14:schemeClr w14:val="tx1"/>
            </w14:solidFill>
          </w14:textFill>
        </w:rPr>
        <w:sectPr>
          <w:pgSz w:w="11906" w:h="16838"/>
          <w:pgMar w:top="1440" w:right="1080" w:bottom="1440" w:left="1080" w:header="851" w:footer="907" w:gutter="0"/>
          <w:pgNumType w:fmt="decimal"/>
          <w:cols w:space="1701" w:num="1"/>
          <w:docGrid w:linePitch="360" w:charSpace="0"/>
        </w:sectPr>
      </w:pPr>
    </w:p>
    <w:p w14:paraId="33BF6BF3">
      <w:pPr>
        <w:spacing w:line="440" w:lineRule="exact"/>
        <w:jc w:val="center"/>
        <w:rPr>
          <w:b/>
          <w:bCs/>
          <w:color w:val="000000" w:themeColor="text1"/>
          <w:sz w:val="32"/>
          <w:szCs w:val="32"/>
          <w:highlight w:val="none"/>
          <w14:textFill>
            <w14:solidFill>
              <w14:schemeClr w14:val="tx1"/>
            </w14:solidFill>
          </w14:textFill>
        </w:rPr>
      </w:pPr>
    </w:p>
    <w:p w14:paraId="6BD915A7">
      <w:pPr>
        <w:spacing w:line="440" w:lineRule="exact"/>
        <w:rPr>
          <w:b/>
          <w:bCs/>
          <w:color w:val="000000" w:themeColor="text1"/>
          <w:sz w:val="32"/>
          <w:szCs w:val="32"/>
          <w:highlight w:val="none"/>
          <w14:textFill>
            <w14:solidFill>
              <w14:schemeClr w14:val="tx1"/>
            </w14:solidFill>
          </w14:textFill>
        </w:rPr>
      </w:pPr>
    </w:p>
    <w:p w14:paraId="49C68A68">
      <w:pPr>
        <w:spacing w:line="440" w:lineRule="exact"/>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响应文件目录</w:t>
      </w:r>
    </w:p>
    <w:p w14:paraId="6793A665">
      <w:pPr>
        <w:spacing w:line="440" w:lineRule="exact"/>
        <w:jc w:val="center"/>
        <w:rPr>
          <w:b/>
          <w:bCs/>
          <w:color w:val="000000" w:themeColor="text1"/>
          <w:sz w:val="32"/>
          <w:szCs w:val="32"/>
          <w:highlight w:val="none"/>
          <w14:textFill>
            <w14:solidFill>
              <w14:schemeClr w14:val="tx1"/>
            </w14:solidFill>
          </w14:textFill>
        </w:rPr>
      </w:pPr>
    </w:p>
    <w:p w14:paraId="632F213E">
      <w:pPr>
        <w:spacing w:line="440" w:lineRule="exact"/>
        <w:ind w:firstLine="48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一、磋商申请及声明</w:t>
      </w:r>
    </w:p>
    <w:p w14:paraId="69B81389">
      <w:pPr>
        <w:spacing w:line="440" w:lineRule="exact"/>
        <w:ind w:firstLine="48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二、供应商基本信息</w:t>
      </w:r>
    </w:p>
    <w:p w14:paraId="68703003">
      <w:pPr>
        <w:spacing w:line="440" w:lineRule="exact"/>
        <w:ind w:firstLine="48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三、特定资格要求的证明文件</w:t>
      </w:r>
    </w:p>
    <w:p w14:paraId="14EEC2F5">
      <w:pPr>
        <w:spacing w:line="440" w:lineRule="exact"/>
        <w:ind w:firstLine="48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四、法定代表人身份证明或法人授权书</w:t>
      </w:r>
    </w:p>
    <w:p w14:paraId="0CEB537B">
      <w:pPr>
        <w:spacing w:line="440" w:lineRule="exact"/>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五、中小企业或残疾人福利性单位声明函</w:t>
      </w:r>
    </w:p>
    <w:p w14:paraId="2E67F749">
      <w:pPr>
        <w:spacing w:line="440" w:lineRule="exact"/>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六、开标一览表</w:t>
      </w:r>
    </w:p>
    <w:p w14:paraId="0738CB84">
      <w:pPr>
        <w:spacing w:line="440" w:lineRule="exact"/>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七、明细报价表</w:t>
      </w:r>
    </w:p>
    <w:p w14:paraId="4201C81D">
      <w:pPr>
        <w:spacing w:line="440" w:lineRule="exact"/>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八、项目实施方案</w:t>
      </w:r>
    </w:p>
    <w:p w14:paraId="5485D3BE">
      <w:pPr>
        <w:spacing w:line="440" w:lineRule="exact"/>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九、项目组人员</w:t>
      </w:r>
    </w:p>
    <w:p w14:paraId="3DEFDEAD">
      <w:pPr>
        <w:spacing w:line="440" w:lineRule="exact"/>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十、技术要求响应及偏离表</w:t>
      </w:r>
    </w:p>
    <w:p w14:paraId="3A3D0071">
      <w:pPr>
        <w:spacing w:line="440" w:lineRule="exact"/>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十一、企业业绩</w:t>
      </w:r>
    </w:p>
    <w:p w14:paraId="7990B6BA">
      <w:pPr>
        <w:spacing w:line="440" w:lineRule="exact"/>
        <w:ind w:firstLine="480"/>
        <w:rPr>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十二、磋商所需其他材料</w:t>
      </w:r>
    </w:p>
    <w:p w14:paraId="172C4419">
      <w:pPr>
        <w:spacing w:line="440" w:lineRule="exact"/>
        <w:ind w:firstLine="480"/>
        <w:rPr>
          <w:color w:val="000000" w:themeColor="text1"/>
          <w:sz w:val="24"/>
          <w:szCs w:val="21"/>
          <w:highlight w:val="none"/>
          <w14:textFill>
            <w14:solidFill>
              <w14:schemeClr w14:val="tx1"/>
            </w14:solidFill>
          </w14:textFill>
        </w:rPr>
      </w:pPr>
    </w:p>
    <w:p w14:paraId="3A89864B">
      <w:pPr>
        <w:spacing w:line="440" w:lineRule="exact"/>
        <w:ind w:firstLine="480"/>
        <w:rPr>
          <w:color w:val="000000" w:themeColor="text1"/>
          <w:sz w:val="24"/>
          <w:szCs w:val="21"/>
          <w:highlight w:val="none"/>
          <w14:textFill>
            <w14:solidFill>
              <w14:schemeClr w14:val="tx1"/>
            </w14:solidFill>
          </w14:textFill>
        </w:rPr>
      </w:pPr>
    </w:p>
    <w:p w14:paraId="58DE703B">
      <w:pPr>
        <w:spacing w:line="440" w:lineRule="exact"/>
        <w:ind w:firstLine="480"/>
        <w:rPr>
          <w:color w:val="000000" w:themeColor="text1"/>
          <w:sz w:val="24"/>
          <w:szCs w:val="21"/>
          <w:highlight w:val="none"/>
          <w14:textFill>
            <w14:solidFill>
              <w14:schemeClr w14:val="tx1"/>
            </w14:solidFill>
          </w14:textFill>
        </w:rPr>
      </w:pPr>
    </w:p>
    <w:p w14:paraId="330B4982">
      <w:pPr>
        <w:spacing w:line="440" w:lineRule="exact"/>
        <w:ind w:firstLine="480"/>
        <w:rPr>
          <w:color w:val="000000" w:themeColor="text1"/>
          <w:sz w:val="24"/>
          <w:szCs w:val="21"/>
          <w:highlight w:val="none"/>
          <w14:textFill>
            <w14:solidFill>
              <w14:schemeClr w14:val="tx1"/>
            </w14:solidFill>
          </w14:textFill>
        </w:rPr>
      </w:pPr>
    </w:p>
    <w:p w14:paraId="15EE466F">
      <w:pPr>
        <w:spacing w:line="440" w:lineRule="exact"/>
        <w:ind w:firstLine="480"/>
        <w:rPr>
          <w:color w:val="000000" w:themeColor="text1"/>
          <w:sz w:val="24"/>
          <w:szCs w:val="21"/>
          <w:highlight w:val="none"/>
          <w14:textFill>
            <w14:solidFill>
              <w14:schemeClr w14:val="tx1"/>
            </w14:solidFill>
          </w14:textFill>
        </w:rPr>
      </w:pPr>
    </w:p>
    <w:p w14:paraId="471813EA">
      <w:pPr>
        <w:spacing w:line="440" w:lineRule="exact"/>
        <w:ind w:firstLine="480"/>
        <w:rPr>
          <w:color w:val="000000" w:themeColor="text1"/>
          <w:sz w:val="24"/>
          <w:szCs w:val="21"/>
          <w:highlight w:val="none"/>
          <w14:textFill>
            <w14:solidFill>
              <w14:schemeClr w14:val="tx1"/>
            </w14:solidFill>
          </w14:textFill>
        </w:rPr>
      </w:pPr>
    </w:p>
    <w:p w14:paraId="2D55C7BD">
      <w:pPr>
        <w:spacing w:line="440" w:lineRule="exact"/>
        <w:ind w:firstLine="480"/>
        <w:rPr>
          <w:color w:val="000000" w:themeColor="text1"/>
          <w:sz w:val="24"/>
          <w:szCs w:val="21"/>
          <w:highlight w:val="none"/>
          <w14:textFill>
            <w14:solidFill>
              <w14:schemeClr w14:val="tx1"/>
            </w14:solidFill>
          </w14:textFill>
        </w:rPr>
      </w:pPr>
    </w:p>
    <w:p w14:paraId="32D3A825">
      <w:pPr>
        <w:spacing w:line="440" w:lineRule="exact"/>
        <w:ind w:firstLine="480"/>
        <w:rPr>
          <w:color w:val="000000" w:themeColor="text1"/>
          <w:sz w:val="24"/>
          <w:szCs w:val="21"/>
          <w:highlight w:val="none"/>
          <w14:textFill>
            <w14:solidFill>
              <w14:schemeClr w14:val="tx1"/>
            </w14:solidFill>
          </w14:textFill>
        </w:rPr>
      </w:pPr>
    </w:p>
    <w:p w14:paraId="4E21C603">
      <w:pPr>
        <w:spacing w:line="440" w:lineRule="exact"/>
        <w:ind w:firstLine="480"/>
        <w:rPr>
          <w:color w:val="000000" w:themeColor="text1"/>
          <w:sz w:val="24"/>
          <w:szCs w:val="21"/>
          <w:highlight w:val="none"/>
          <w14:textFill>
            <w14:solidFill>
              <w14:schemeClr w14:val="tx1"/>
            </w14:solidFill>
          </w14:textFill>
        </w:rPr>
      </w:pPr>
    </w:p>
    <w:p w14:paraId="5A699698">
      <w:pPr>
        <w:spacing w:line="440" w:lineRule="exact"/>
        <w:ind w:firstLine="480"/>
        <w:rPr>
          <w:color w:val="000000" w:themeColor="text1"/>
          <w:sz w:val="24"/>
          <w:szCs w:val="21"/>
          <w:highlight w:val="none"/>
          <w14:textFill>
            <w14:solidFill>
              <w14:schemeClr w14:val="tx1"/>
            </w14:solidFill>
          </w14:textFill>
        </w:rPr>
      </w:pPr>
    </w:p>
    <w:p w14:paraId="14691F92">
      <w:pPr>
        <w:spacing w:line="440" w:lineRule="exact"/>
        <w:ind w:firstLine="480"/>
        <w:rPr>
          <w:color w:val="000000" w:themeColor="text1"/>
          <w:sz w:val="24"/>
          <w:szCs w:val="21"/>
          <w:highlight w:val="none"/>
          <w14:textFill>
            <w14:solidFill>
              <w14:schemeClr w14:val="tx1"/>
            </w14:solidFill>
          </w14:textFill>
        </w:rPr>
      </w:pPr>
    </w:p>
    <w:p w14:paraId="20B913CC">
      <w:pPr>
        <w:spacing w:line="440" w:lineRule="exact"/>
        <w:ind w:firstLine="480"/>
        <w:rPr>
          <w:color w:val="000000" w:themeColor="text1"/>
          <w:sz w:val="24"/>
          <w:szCs w:val="21"/>
          <w:highlight w:val="none"/>
          <w14:textFill>
            <w14:solidFill>
              <w14:schemeClr w14:val="tx1"/>
            </w14:solidFill>
          </w14:textFill>
        </w:rPr>
      </w:pPr>
    </w:p>
    <w:p w14:paraId="0B3836EF">
      <w:pPr>
        <w:spacing w:line="440" w:lineRule="exact"/>
        <w:ind w:firstLine="480"/>
        <w:rPr>
          <w:color w:val="000000" w:themeColor="text1"/>
          <w:sz w:val="24"/>
          <w:szCs w:val="21"/>
          <w:highlight w:val="none"/>
          <w14:textFill>
            <w14:solidFill>
              <w14:schemeClr w14:val="tx1"/>
            </w14:solidFill>
          </w14:textFill>
        </w:rPr>
      </w:pPr>
    </w:p>
    <w:p w14:paraId="0E056C4D">
      <w:pPr>
        <w:spacing w:line="440" w:lineRule="exact"/>
        <w:ind w:firstLine="480"/>
        <w:rPr>
          <w:color w:val="000000" w:themeColor="text1"/>
          <w:sz w:val="24"/>
          <w:szCs w:val="21"/>
          <w:highlight w:val="none"/>
          <w14:textFill>
            <w14:solidFill>
              <w14:schemeClr w14:val="tx1"/>
            </w14:solidFill>
          </w14:textFill>
        </w:rPr>
      </w:pPr>
    </w:p>
    <w:p w14:paraId="22B8F992">
      <w:pPr>
        <w:spacing w:line="440" w:lineRule="exact"/>
        <w:ind w:firstLine="480"/>
        <w:rPr>
          <w:color w:val="000000" w:themeColor="text1"/>
          <w:sz w:val="24"/>
          <w:szCs w:val="21"/>
          <w:highlight w:val="none"/>
          <w14:textFill>
            <w14:solidFill>
              <w14:schemeClr w14:val="tx1"/>
            </w14:solidFill>
          </w14:textFill>
        </w:rPr>
      </w:pPr>
    </w:p>
    <w:p w14:paraId="084DEF9A">
      <w:pPr>
        <w:outlineLvl w:val="1"/>
        <w:rPr>
          <w:rFonts w:eastAsia="黑体"/>
          <w:b/>
          <w:color w:val="000000" w:themeColor="text1"/>
          <w:sz w:val="32"/>
          <w:szCs w:val="32"/>
          <w:highlight w:val="none"/>
          <w14:textFill>
            <w14:solidFill>
              <w14:schemeClr w14:val="tx1"/>
            </w14:solidFill>
          </w14:textFill>
        </w:rPr>
      </w:pPr>
      <w:r>
        <w:rPr>
          <w:rFonts w:hint="eastAsia" w:eastAsia="黑体"/>
          <w:b/>
          <w:color w:val="000000" w:themeColor="text1"/>
          <w:sz w:val="32"/>
          <w:szCs w:val="32"/>
          <w:highlight w:val="none"/>
          <w14:textFill>
            <w14:solidFill>
              <w14:schemeClr w14:val="tx1"/>
            </w14:solidFill>
          </w14:textFill>
        </w:rPr>
        <w:t>一、磋商申请及声明</w:t>
      </w:r>
    </w:p>
    <w:p w14:paraId="63737380">
      <w:pPr>
        <w:pStyle w:val="42"/>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响应声明及承诺函</w:t>
      </w:r>
    </w:p>
    <w:p w14:paraId="05C99801">
      <w:pPr>
        <w:pStyle w:val="42"/>
        <w:spacing w:line="500" w:lineRule="exact"/>
        <w:jc w:val="left"/>
        <w:rPr>
          <w:rFonts w:eastAsia="方正仿宋_GBK"/>
          <w:color w:val="000000" w:themeColor="text1"/>
          <w:sz w:val="24"/>
          <w:szCs w:val="24"/>
          <w:highlight w:val="none"/>
          <w:u w:val="single"/>
          <w14:textFill>
            <w14:solidFill>
              <w14:schemeClr w14:val="tx1"/>
            </w14:solidFill>
          </w14:textFill>
        </w:rPr>
      </w:pPr>
      <w:r>
        <w:rPr>
          <w:rFonts w:hint="eastAsia" w:eastAsia="方正仿宋_GBK"/>
          <w:color w:val="000000" w:themeColor="text1"/>
          <w:sz w:val="24"/>
          <w:szCs w:val="24"/>
          <w:highlight w:val="none"/>
          <w:u w:val="single"/>
          <w14:textFill>
            <w14:solidFill>
              <w14:schemeClr w14:val="tx1"/>
            </w14:solidFill>
          </w14:textFill>
        </w:rPr>
        <w:t>（采购单位名称）：</w:t>
      </w:r>
    </w:p>
    <w:p w14:paraId="07889431">
      <w:pPr>
        <w:pStyle w:val="42"/>
        <w:spacing w:line="500" w:lineRule="exact"/>
        <w:ind w:firstLine="480"/>
        <w:jc w:val="left"/>
        <w:rPr>
          <w:rFonts w:eastAsia="方正仿宋_GBK"/>
          <w:color w:val="000000" w:themeColor="text1"/>
          <w:sz w:val="24"/>
          <w:szCs w:val="24"/>
          <w:highlight w:val="none"/>
          <w14:textFill>
            <w14:solidFill>
              <w14:schemeClr w14:val="tx1"/>
            </w14:solidFill>
          </w14:textFill>
        </w:rPr>
      </w:pPr>
      <w:r>
        <w:rPr>
          <w:rFonts w:hint="eastAsia" w:eastAsia="方正仿宋_GBK"/>
          <w:color w:val="000000" w:themeColor="text1"/>
          <w:sz w:val="24"/>
          <w:szCs w:val="24"/>
          <w:highlight w:val="none"/>
          <w14:textFill>
            <w14:solidFill>
              <w14:schemeClr w14:val="tx1"/>
            </w14:solidFill>
          </w14:textFill>
        </w:rPr>
        <w:t>根据已收到的项目编号为的项目的竞争性磋商文件，我单位在参加本项目竞争性磋商活动中，特做出如下承诺：</w:t>
      </w:r>
    </w:p>
    <w:p w14:paraId="478DA969">
      <w:pPr>
        <w:pStyle w:val="42"/>
        <w:spacing w:line="500" w:lineRule="exact"/>
        <w:ind w:firstLine="480"/>
        <w:jc w:val="left"/>
        <w:rPr>
          <w:rFonts w:eastAsia="方正仿宋_GBK"/>
          <w:color w:val="000000" w:themeColor="text1"/>
          <w:sz w:val="24"/>
          <w:szCs w:val="24"/>
          <w:highlight w:val="none"/>
          <w14:textFill>
            <w14:solidFill>
              <w14:schemeClr w14:val="tx1"/>
            </w14:solidFill>
          </w14:textFill>
        </w:rPr>
      </w:pPr>
      <w:r>
        <w:rPr>
          <w:rFonts w:hint="eastAsia" w:eastAsia="方正仿宋_GBK"/>
          <w:color w:val="000000" w:themeColor="text1"/>
          <w:sz w:val="24"/>
          <w:szCs w:val="24"/>
          <w:highlight w:val="none"/>
          <w14:textFill>
            <w14:solidFill>
              <w14:schemeClr w14:val="tx1"/>
            </w14:solidFill>
          </w14:textFill>
        </w:rPr>
        <w:t>一、我方</w:t>
      </w:r>
      <w:r>
        <w:rPr>
          <w:rFonts w:eastAsia="方正仿宋_GBK"/>
          <w:color w:val="000000" w:themeColor="text1"/>
          <w:sz w:val="24"/>
          <w:highlight w:val="none"/>
          <w14:textFill>
            <w14:solidFill>
              <w14:schemeClr w14:val="tx1"/>
            </w14:solidFill>
          </w14:textFill>
        </w:rPr>
        <w:t>具备《中华人民共和国政府采购法》第二十二条第一款规定的6项条件；</w:t>
      </w:r>
    </w:p>
    <w:p w14:paraId="3CFB023D">
      <w:pPr>
        <w:pStyle w:val="42"/>
        <w:spacing w:line="500" w:lineRule="exact"/>
        <w:ind w:firstLine="480"/>
        <w:jc w:val="left"/>
        <w:rPr>
          <w:rFonts w:eastAsia="方正仿宋_GBK"/>
          <w:color w:val="000000" w:themeColor="text1"/>
          <w:sz w:val="24"/>
          <w:szCs w:val="24"/>
          <w:highlight w:val="none"/>
          <w14:textFill>
            <w14:solidFill>
              <w14:schemeClr w14:val="tx1"/>
            </w14:solidFill>
          </w14:textFill>
        </w:rPr>
      </w:pPr>
      <w:r>
        <w:rPr>
          <w:rFonts w:hint="eastAsia" w:eastAsia="方正仿宋_GBK"/>
          <w:color w:val="000000" w:themeColor="text1"/>
          <w:sz w:val="24"/>
          <w:szCs w:val="24"/>
          <w:highlight w:val="none"/>
          <w14:textFill>
            <w14:solidFill>
              <w14:schemeClr w14:val="tx1"/>
            </w14:solidFill>
          </w14:textFill>
        </w:rPr>
        <w:t>二、我方在参加政府采购活动前三年内（自本项目磋商时间之日起计算），在经营活动中没有重大违法记录（指因违法经营受到刑事处罚或者责令停产停业、吊销许可证或者执照、较大数额罚款等行政处罚）。</w:t>
      </w:r>
    </w:p>
    <w:p w14:paraId="6C294EB2">
      <w:pPr>
        <w:pStyle w:val="42"/>
        <w:spacing w:line="500" w:lineRule="exact"/>
        <w:ind w:firstLine="480"/>
        <w:jc w:val="left"/>
        <w:rPr>
          <w:rFonts w:eastAsia="方正仿宋_GBK"/>
          <w:color w:val="000000" w:themeColor="text1"/>
          <w:sz w:val="24"/>
          <w:szCs w:val="24"/>
          <w:highlight w:val="none"/>
          <w14:textFill>
            <w14:solidFill>
              <w14:schemeClr w14:val="tx1"/>
            </w14:solidFill>
          </w14:textFill>
        </w:rPr>
      </w:pPr>
      <w:r>
        <w:rPr>
          <w:rFonts w:hint="eastAsia" w:eastAsia="方正仿宋_GBK"/>
          <w:color w:val="000000" w:themeColor="text1"/>
          <w:sz w:val="24"/>
          <w:szCs w:val="24"/>
          <w:highlight w:val="none"/>
          <w14:textFill>
            <w14:solidFill>
              <w14:schemeClr w14:val="tx1"/>
            </w14:solidFill>
          </w14:textFill>
        </w:rPr>
        <w:t>三、我方按磋商文件要求提交响应文件，响应磋商文件规定的响应有效期；</w:t>
      </w:r>
    </w:p>
    <w:p w14:paraId="39B874A4">
      <w:pPr>
        <w:pStyle w:val="42"/>
        <w:spacing w:line="500" w:lineRule="exact"/>
        <w:ind w:firstLine="480"/>
        <w:jc w:val="left"/>
        <w:rPr>
          <w:rFonts w:eastAsia="方正仿宋_GBK"/>
          <w:color w:val="000000" w:themeColor="text1"/>
          <w:sz w:val="24"/>
          <w:szCs w:val="24"/>
          <w:highlight w:val="none"/>
          <w14:textFill>
            <w14:solidFill>
              <w14:schemeClr w14:val="tx1"/>
            </w14:solidFill>
          </w14:textFill>
        </w:rPr>
      </w:pPr>
      <w:r>
        <w:rPr>
          <w:rFonts w:hint="eastAsia" w:eastAsia="方正仿宋_GBK"/>
          <w:color w:val="000000" w:themeColor="text1"/>
          <w:sz w:val="24"/>
          <w:szCs w:val="24"/>
          <w:highlight w:val="none"/>
          <w14:textFill>
            <w14:solidFill>
              <w14:schemeClr w14:val="tx1"/>
            </w14:solidFill>
          </w14:textFill>
        </w:rPr>
        <w:t>四、如果我方的响应文件被接受，我方将按《中华人民共和国民法典（第三编合同） 》及其他有关法律、法规的规定，按期、按质、按量交付采购单位，全面做到履约守信；</w:t>
      </w:r>
    </w:p>
    <w:p w14:paraId="78E583E9">
      <w:pPr>
        <w:pStyle w:val="42"/>
        <w:spacing w:line="500" w:lineRule="exact"/>
        <w:ind w:firstLine="480"/>
        <w:jc w:val="left"/>
        <w:rPr>
          <w:rFonts w:eastAsia="方正仿宋_GBK"/>
          <w:color w:val="000000" w:themeColor="text1"/>
          <w:sz w:val="24"/>
          <w:szCs w:val="24"/>
          <w:highlight w:val="none"/>
          <w14:textFill>
            <w14:solidFill>
              <w14:schemeClr w14:val="tx1"/>
            </w14:solidFill>
          </w14:textFill>
        </w:rPr>
      </w:pPr>
      <w:r>
        <w:rPr>
          <w:rFonts w:hint="eastAsia" w:eastAsia="方正仿宋_GBK"/>
          <w:color w:val="000000" w:themeColor="text1"/>
          <w:sz w:val="24"/>
          <w:szCs w:val="24"/>
          <w:highlight w:val="none"/>
          <w14:textFill>
            <w14:solidFill>
              <w14:schemeClr w14:val="tx1"/>
            </w14:solidFill>
          </w14:textFill>
        </w:rPr>
        <w:t>五、我方若违背本声明及承诺约定，经查实，自愿接受采购人及相关主管部门相应的规定处理，并依法承担相应的法律责任。</w:t>
      </w:r>
    </w:p>
    <w:p w14:paraId="47818E28">
      <w:pPr>
        <w:pStyle w:val="42"/>
        <w:spacing w:line="500" w:lineRule="exact"/>
        <w:ind w:firstLine="482"/>
        <w:jc w:val="left"/>
        <w:rPr>
          <w:rFonts w:eastAsia="方正仿宋_GBK"/>
          <w:color w:val="000000" w:themeColor="text1"/>
          <w:sz w:val="24"/>
          <w:szCs w:val="24"/>
          <w:highlight w:val="none"/>
          <w14:textFill>
            <w14:solidFill>
              <w14:schemeClr w14:val="tx1"/>
            </w14:solidFill>
          </w14:textFill>
        </w:rPr>
      </w:pPr>
      <w:r>
        <w:rPr>
          <w:rFonts w:hint="eastAsia" w:eastAsia="方正仿宋_GBK"/>
          <w:color w:val="000000" w:themeColor="text1"/>
          <w:sz w:val="24"/>
          <w:szCs w:val="24"/>
          <w:highlight w:val="none"/>
          <w14:textFill>
            <w14:solidFill>
              <w14:schemeClr w14:val="tx1"/>
            </w14:solidFill>
          </w14:textFill>
        </w:rPr>
        <w:t>六、我方同意采购人、采购代理机构将本声明及承诺函上网公开。</w:t>
      </w:r>
    </w:p>
    <w:p w14:paraId="7D435E9F">
      <w:pPr>
        <w:pStyle w:val="42"/>
        <w:spacing w:line="500" w:lineRule="exact"/>
        <w:ind w:firstLine="480"/>
        <w:jc w:val="left"/>
        <w:rPr>
          <w:rFonts w:eastAsia="方正仿宋_GBK"/>
          <w:color w:val="000000" w:themeColor="text1"/>
          <w:sz w:val="24"/>
          <w:szCs w:val="24"/>
          <w:highlight w:val="none"/>
          <w14:textFill>
            <w14:solidFill>
              <w14:schemeClr w14:val="tx1"/>
            </w14:solidFill>
          </w14:textFill>
        </w:rPr>
      </w:pPr>
    </w:p>
    <w:p w14:paraId="38B7F158">
      <w:pPr>
        <w:pStyle w:val="42"/>
        <w:spacing w:line="500" w:lineRule="exact"/>
        <w:jc w:val="left"/>
        <w:rPr>
          <w:rFonts w:eastAsia="方正仿宋_GBK"/>
          <w:color w:val="000000" w:themeColor="text1"/>
          <w:sz w:val="24"/>
          <w:szCs w:val="24"/>
          <w:highlight w:val="none"/>
          <w14:textFill>
            <w14:solidFill>
              <w14:schemeClr w14:val="tx1"/>
            </w14:solidFill>
          </w14:textFill>
        </w:rPr>
      </w:pPr>
    </w:p>
    <w:p w14:paraId="6B270F2E">
      <w:pPr>
        <w:pStyle w:val="42"/>
        <w:spacing w:line="500" w:lineRule="exact"/>
        <w:ind w:firstLine="480"/>
        <w:jc w:val="left"/>
        <w:rPr>
          <w:rFonts w:eastAsia="方正仿宋_GBK"/>
          <w:color w:val="000000" w:themeColor="text1"/>
          <w:sz w:val="24"/>
          <w:szCs w:val="24"/>
          <w:highlight w:val="none"/>
          <w14:textFill>
            <w14:solidFill>
              <w14:schemeClr w14:val="tx1"/>
            </w14:solidFill>
          </w14:textFill>
        </w:rPr>
      </w:pPr>
      <w:r>
        <w:rPr>
          <w:rFonts w:hint="eastAsia" w:eastAsia="方正仿宋_GBK"/>
          <w:color w:val="000000" w:themeColor="text1"/>
          <w:sz w:val="24"/>
          <w:szCs w:val="24"/>
          <w:highlight w:val="none"/>
          <w14:textFill>
            <w14:solidFill>
              <w14:schemeClr w14:val="tx1"/>
            </w14:solidFill>
          </w14:textFill>
        </w:rPr>
        <w:t>供应商名称： （加盖CA电子公章）</w:t>
      </w:r>
    </w:p>
    <w:p w14:paraId="15AE9715">
      <w:pPr>
        <w:spacing w:line="440" w:lineRule="exact"/>
        <w:ind w:firstLine="480"/>
        <w:rPr>
          <w:rFonts w:eastAsia="方正仿宋_GBK"/>
          <w:color w:val="000000" w:themeColor="text1"/>
          <w:sz w:val="24"/>
          <w:szCs w:val="24"/>
          <w:highlight w:val="none"/>
          <w14:textFill>
            <w14:solidFill>
              <w14:schemeClr w14:val="tx1"/>
            </w14:solidFill>
          </w14:textFill>
        </w:rPr>
      </w:pPr>
      <w:r>
        <w:rPr>
          <w:rFonts w:hint="eastAsia" w:eastAsia="方正仿宋_GBK"/>
          <w:color w:val="000000" w:themeColor="text1"/>
          <w:sz w:val="24"/>
          <w:szCs w:val="24"/>
          <w:highlight w:val="none"/>
          <w14:textFill>
            <w14:solidFill>
              <w14:schemeClr w14:val="tx1"/>
            </w14:solidFill>
          </w14:textFill>
        </w:rPr>
        <w:t>日期：    年    月   日</w:t>
      </w:r>
    </w:p>
    <w:p w14:paraId="1EA01C58">
      <w:pPr>
        <w:spacing w:line="440" w:lineRule="exact"/>
        <w:ind w:firstLine="480"/>
        <w:rPr>
          <w:rFonts w:eastAsia="方正仿宋_GBK"/>
          <w:color w:val="000000" w:themeColor="text1"/>
          <w:sz w:val="24"/>
          <w:szCs w:val="24"/>
          <w:highlight w:val="none"/>
          <w14:textFill>
            <w14:solidFill>
              <w14:schemeClr w14:val="tx1"/>
            </w14:solidFill>
          </w14:textFill>
        </w:rPr>
      </w:pPr>
    </w:p>
    <w:p w14:paraId="0779685F">
      <w:pPr>
        <w:spacing w:line="440" w:lineRule="exact"/>
        <w:ind w:firstLine="480"/>
        <w:rPr>
          <w:rFonts w:eastAsia="方正仿宋_GBK"/>
          <w:color w:val="000000" w:themeColor="text1"/>
          <w:sz w:val="24"/>
          <w:szCs w:val="24"/>
          <w:highlight w:val="none"/>
          <w14:textFill>
            <w14:solidFill>
              <w14:schemeClr w14:val="tx1"/>
            </w14:solidFill>
          </w14:textFill>
        </w:rPr>
      </w:pPr>
    </w:p>
    <w:p w14:paraId="4A84F612">
      <w:pPr>
        <w:spacing w:line="440" w:lineRule="exact"/>
        <w:ind w:firstLine="480"/>
        <w:rPr>
          <w:rFonts w:eastAsia="方正仿宋_GBK"/>
          <w:color w:val="000000" w:themeColor="text1"/>
          <w:sz w:val="24"/>
          <w:szCs w:val="24"/>
          <w:highlight w:val="none"/>
          <w14:textFill>
            <w14:solidFill>
              <w14:schemeClr w14:val="tx1"/>
            </w14:solidFill>
          </w14:textFill>
        </w:rPr>
      </w:pPr>
    </w:p>
    <w:p w14:paraId="43D5C1BD">
      <w:pPr>
        <w:spacing w:line="440" w:lineRule="exact"/>
        <w:ind w:firstLine="480"/>
        <w:rPr>
          <w:rFonts w:eastAsia="方正仿宋_GBK"/>
          <w:color w:val="000000" w:themeColor="text1"/>
          <w:sz w:val="24"/>
          <w:szCs w:val="24"/>
          <w:highlight w:val="none"/>
          <w14:textFill>
            <w14:solidFill>
              <w14:schemeClr w14:val="tx1"/>
            </w14:solidFill>
          </w14:textFill>
        </w:rPr>
      </w:pPr>
    </w:p>
    <w:p w14:paraId="49654A0D">
      <w:pPr>
        <w:spacing w:line="440" w:lineRule="exact"/>
        <w:ind w:firstLine="480"/>
        <w:rPr>
          <w:rFonts w:eastAsia="方正仿宋_GBK"/>
          <w:color w:val="000000" w:themeColor="text1"/>
          <w:sz w:val="24"/>
          <w:szCs w:val="24"/>
          <w:highlight w:val="none"/>
          <w14:textFill>
            <w14:solidFill>
              <w14:schemeClr w14:val="tx1"/>
            </w14:solidFill>
          </w14:textFill>
        </w:rPr>
      </w:pPr>
    </w:p>
    <w:p w14:paraId="36E3DA9B">
      <w:pPr>
        <w:spacing w:line="440" w:lineRule="exact"/>
        <w:ind w:firstLine="480"/>
        <w:rPr>
          <w:rFonts w:eastAsia="方正仿宋_GBK"/>
          <w:color w:val="000000" w:themeColor="text1"/>
          <w:sz w:val="24"/>
          <w:szCs w:val="24"/>
          <w:highlight w:val="none"/>
          <w14:textFill>
            <w14:solidFill>
              <w14:schemeClr w14:val="tx1"/>
            </w14:solidFill>
          </w14:textFill>
        </w:rPr>
      </w:pPr>
    </w:p>
    <w:p w14:paraId="04669F68">
      <w:pPr>
        <w:spacing w:line="440" w:lineRule="exact"/>
        <w:ind w:firstLine="480"/>
        <w:rPr>
          <w:rFonts w:eastAsia="方正仿宋_GBK"/>
          <w:color w:val="000000" w:themeColor="text1"/>
          <w:sz w:val="24"/>
          <w:szCs w:val="24"/>
          <w:highlight w:val="none"/>
          <w14:textFill>
            <w14:solidFill>
              <w14:schemeClr w14:val="tx1"/>
            </w14:solidFill>
          </w14:textFill>
        </w:rPr>
      </w:pPr>
    </w:p>
    <w:p w14:paraId="102AADCC">
      <w:pPr>
        <w:spacing w:line="440" w:lineRule="exact"/>
        <w:ind w:firstLine="480"/>
        <w:rPr>
          <w:rFonts w:eastAsia="方正仿宋_GBK"/>
          <w:color w:val="000000" w:themeColor="text1"/>
          <w:sz w:val="24"/>
          <w:szCs w:val="24"/>
          <w:highlight w:val="none"/>
          <w14:textFill>
            <w14:solidFill>
              <w14:schemeClr w14:val="tx1"/>
            </w14:solidFill>
          </w14:textFill>
        </w:rPr>
      </w:pPr>
    </w:p>
    <w:p w14:paraId="1A3AF0DB">
      <w:pPr>
        <w:spacing w:line="440" w:lineRule="exact"/>
        <w:ind w:firstLine="480"/>
        <w:rPr>
          <w:rFonts w:eastAsia="方正仿宋_GBK"/>
          <w:color w:val="000000" w:themeColor="text1"/>
          <w:sz w:val="24"/>
          <w:szCs w:val="24"/>
          <w:highlight w:val="none"/>
          <w14:textFill>
            <w14:solidFill>
              <w14:schemeClr w14:val="tx1"/>
            </w14:solidFill>
          </w14:textFill>
        </w:rPr>
      </w:pPr>
    </w:p>
    <w:bookmarkEnd w:id="237"/>
    <w:bookmarkEnd w:id="238"/>
    <w:bookmarkEnd w:id="239"/>
    <w:p w14:paraId="7841CF08">
      <w:pPr>
        <w:rPr>
          <w:color w:val="000000" w:themeColor="text1"/>
          <w:highlight w:val="none"/>
          <w14:textFill>
            <w14:solidFill>
              <w14:schemeClr w14:val="tx1"/>
            </w14:solidFill>
          </w14:textFill>
        </w:rPr>
      </w:pPr>
      <w:bookmarkStart w:id="240" w:name="_Toc27399"/>
      <w:bookmarkStart w:id="241" w:name="_Toc120614284"/>
    </w:p>
    <w:p w14:paraId="72135D5B">
      <w:pPr>
        <w:rPr>
          <w:color w:val="000000" w:themeColor="text1"/>
          <w:highlight w:val="none"/>
          <w14:textFill>
            <w14:solidFill>
              <w14:schemeClr w14:val="tx1"/>
            </w14:solidFill>
          </w14:textFill>
        </w:rPr>
      </w:pPr>
    </w:p>
    <w:p w14:paraId="3201972C">
      <w:pPr>
        <w:outlineLvl w:val="1"/>
        <w:rPr>
          <w:rFonts w:eastAsia="黑体"/>
          <w:b/>
          <w:color w:val="000000" w:themeColor="text1"/>
          <w:sz w:val="32"/>
          <w:szCs w:val="32"/>
          <w:highlight w:val="none"/>
          <w14:textFill>
            <w14:solidFill>
              <w14:schemeClr w14:val="tx1"/>
            </w14:solidFill>
          </w14:textFill>
        </w:rPr>
      </w:pPr>
      <w:r>
        <w:rPr>
          <w:rFonts w:hint="eastAsia" w:eastAsia="黑体"/>
          <w:b/>
          <w:color w:val="000000" w:themeColor="text1"/>
          <w:sz w:val="32"/>
          <w:szCs w:val="32"/>
          <w:highlight w:val="none"/>
          <w14:textFill>
            <w14:solidFill>
              <w14:schemeClr w14:val="tx1"/>
            </w14:solidFill>
          </w14:textFill>
        </w:rPr>
        <w:t>二、</w:t>
      </w:r>
      <w:bookmarkEnd w:id="240"/>
      <w:r>
        <w:rPr>
          <w:rFonts w:hint="eastAsia" w:eastAsia="黑体"/>
          <w:b/>
          <w:color w:val="000000" w:themeColor="text1"/>
          <w:sz w:val="32"/>
          <w:szCs w:val="32"/>
          <w:highlight w:val="none"/>
          <w14:textFill>
            <w14:solidFill>
              <w14:schemeClr w14:val="tx1"/>
            </w14:solidFill>
          </w14:textFill>
        </w:rPr>
        <w:t>供应商基本信息</w:t>
      </w:r>
    </w:p>
    <w:p w14:paraId="2CB54FCB">
      <w:pPr>
        <w:pStyle w:val="44"/>
        <w:jc w:val="center"/>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供应商基本情况表</w:t>
      </w:r>
    </w:p>
    <w:tbl>
      <w:tblPr>
        <w:tblStyle w:val="13"/>
        <w:tblW w:w="852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3118"/>
        <w:gridCol w:w="1276"/>
        <w:gridCol w:w="2604"/>
      </w:tblGrid>
      <w:tr w14:paraId="0917E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ign w:val="center"/>
          </w:tcPr>
          <w:p w14:paraId="7127E1E1">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供应商名称</w:t>
            </w:r>
          </w:p>
        </w:tc>
        <w:tc>
          <w:tcPr>
            <w:tcW w:w="6998" w:type="dxa"/>
            <w:gridSpan w:val="3"/>
            <w:noWrap/>
            <w:vAlign w:val="center"/>
          </w:tcPr>
          <w:p w14:paraId="1B7C1410">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p>
        </w:tc>
      </w:tr>
      <w:tr w14:paraId="32C26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ign w:val="center"/>
          </w:tcPr>
          <w:p w14:paraId="39A317ED">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p>
        </w:tc>
        <w:tc>
          <w:tcPr>
            <w:tcW w:w="3118" w:type="dxa"/>
            <w:noWrap/>
            <w:vAlign w:val="center"/>
          </w:tcPr>
          <w:p w14:paraId="6AE5D78B">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p>
        </w:tc>
        <w:tc>
          <w:tcPr>
            <w:tcW w:w="1276" w:type="dxa"/>
            <w:noWrap/>
            <w:vAlign w:val="center"/>
          </w:tcPr>
          <w:p w14:paraId="44E81CD3">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注册地区</w:t>
            </w:r>
          </w:p>
        </w:tc>
        <w:tc>
          <w:tcPr>
            <w:tcW w:w="2604" w:type="dxa"/>
            <w:noWrap/>
            <w:vAlign w:val="center"/>
          </w:tcPr>
          <w:p w14:paraId="46B0E6E5">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p>
        </w:tc>
      </w:tr>
      <w:tr w14:paraId="3828E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ign w:val="center"/>
          </w:tcPr>
          <w:p w14:paraId="3DA10D76">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p>
        </w:tc>
        <w:tc>
          <w:tcPr>
            <w:tcW w:w="3118" w:type="dxa"/>
            <w:noWrap/>
            <w:vAlign w:val="center"/>
          </w:tcPr>
          <w:p w14:paraId="01DD7904">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p>
        </w:tc>
        <w:tc>
          <w:tcPr>
            <w:tcW w:w="1276" w:type="dxa"/>
            <w:noWrap/>
            <w:vAlign w:val="center"/>
          </w:tcPr>
          <w:p w14:paraId="639E1550">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邮政编码</w:t>
            </w:r>
          </w:p>
        </w:tc>
        <w:tc>
          <w:tcPr>
            <w:tcW w:w="2604" w:type="dxa"/>
            <w:noWrap/>
            <w:vAlign w:val="center"/>
          </w:tcPr>
          <w:p w14:paraId="31DD0E0F">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p>
        </w:tc>
      </w:tr>
      <w:tr w14:paraId="5C23B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ign w:val="center"/>
          </w:tcPr>
          <w:p w14:paraId="3E11B865">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成立时间</w:t>
            </w:r>
          </w:p>
        </w:tc>
        <w:tc>
          <w:tcPr>
            <w:tcW w:w="3118" w:type="dxa"/>
            <w:noWrap/>
            <w:vAlign w:val="center"/>
          </w:tcPr>
          <w:p w14:paraId="12F2D206">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p>
        </w:tc>
        <w:tc>
          <w:tcPr>
            <w:tcW w:w="1276" w:type="dxa"/>
            <w:noWrap/>
            <w:vAlign w:val="center"/>
          </w:tcPr>
          <w:p w14:paraId="275E9900">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单位性质</w:t>
            </w:r>
          </w:p>
        </w:tc>
        <w:tc>
          <w:tcPr>
            <w:tcW w:w="2604" w:type="dxa"/>
            <w:noWrap/>
            <w:vAlign w:val="center"/>
          </w:tcPr>
          <w:p w14:paraId="5E5EA4F1">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p>
        </w:tc>
      </w:tr>
      <w:tr w14:paraId="22B39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ign w:val="center"/>
          </w:tcPr>
          <w:p w14:paraId="6A2BC48B">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注册号或社会信用代码</w:t>
            </w:r>
          </w:p>
        </w:tc>
        <w:tc>
          <w:tcPr>
            <w:tcW w:w="3118" w:type="dxa"/>
            <w:noWrap/>
            <w:vAlign w:val="center"/>
          </w:tcPr>
          <w:p w14:paraId="2C6BBD2F">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p>
        </w:tc>
        <w:tc>
          <w:tcPr>
            <w:tcW w:w="1276" w:type="dxa"/>
            <w:noWrap/>
            <w:vAlign w:val="center"/>
          </w:tcPr>
          <w:p w14:paraId="34D166B0">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注册资本（万元）</w:t>
            </w:r>
          </w:p>
        </w:tc>
        <w:tc>
          <w:tcPr>
            <w:tcW w:w="2604" w:type="dxa"/>
            <w:noWrap/>
            <w:vAlign w:val="center"/>
          </w:tcPr>
          <w:p w14:paraId="72ECAB64">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p>
        </w:tc>
      </w:tr>
      <w:tr w14:paraId="419A4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ign w:val="center"/>
          </w:tcPr>
          <w:p w14:paraId="4B76DAA0">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供应商类别</w:t>
            </w:r>
          </w:p>
        </w:tc>
        <w:tc>
          <w:tcPr>
            <w:tcW w:w="6998" w:type="dxa"/>
            <w:gridSpan w:val="3"/>
            <w:noWrap/>
            <w:vAlign w:val="center"/>
          </w:tcPr>
          <w:p w14:paraId="75B0134C">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p>
        </w:tc>
      </w:tr>
      <w:tr w14:paraId="016CC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ign w:val="center"/>
          </w:tcPr>
          <w:p w14:paraId="7AF6774E">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p>
        </w:tc>
        <w:tc>
          <w:tcPr>
            <w:tcW w:w="3118" w:type="dxa"/>
            <w:noWrap/>
            <w:vAlign w:val="center"/>
          </w:tcPr>
          <w:p w14:paraId="358CADBF">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p>
        </w:tc>
        <w:tc>
          <w:tcPr>
            <w:tcW w:w="1276" w:type="dxa"/>
            <w:noWrap/>
            <w:vAlign w:val="center"/>
          </w:tcPr>
          <w:p w14:paraId="5670FD9A">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账号</w:t>
            </w:r>
          </w:p>
        </w:tc>
        <w:tc>
          <w:tcPr>
            <w:tcW w:w="2604" w:type="dxa"/>
            <w:noWrap/>
            <w:vAlign w:val="center"/>
          </w:tcPr>
          <w:p w14:paraId="48A0DA85">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p>
        </w:tc>
      </w:tr>
      <w:tr w14:paraId="12268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ign w:val="center"/>
          </w:tcPr>
          <w:p w14:paraId="0958863D">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tc>
        <w:tc>
          <w:tcPr>
            <w:tcW w:w="3118" w:type="dxa"/>
            <w:noWrap/>
            <w:vAlign w:val="center"/>
          </w:tcPr>
          <w:p w14:paraId="4AC519DF">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p>
        </w:tc>
        <w:tc>
          <w:tcPr>
            <w:tcW w:w="1276" w:type="dxa"/>
            <w:noWrap/>
            <w:vAlign w:val="center"/>
          </w:tcPr>
          <w:p w14:paraId="3A5CBFF8">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p>
        </w:tc>
        <w:tc>
          <w:tcPr>
            <w:tcW w:w="2604" w:type="dxa"/>
            <w:noWrap/>
            <w:vAlign w:val="center"/>
          </w:tcPr>
          <w:p w14:paraId="04C6FDD1">
            <w:pPr>
              <w:pStyle w:val="44"/>
              <w:spacing w:line="600" w:lineRule="exact"/>
              <w:jc w:val="center"/>
              <w:rPr>
                <w:rFonts w:ascii="宋体" w:hAnsi="宋体" w:cs="宋体"/>
                <w:color w:val="000000" w:themeColor="text1"/>
                <w:sz w:val="24"/>
                <w:szCs w:val="24"/>
                <w:highlight w:val="none"/>
                <w14:textFill>
                  <w14:solidFill>
                    <w14:schemeClr w14:val="tx1"/>
                  </w14:solidFill>
                </w14:textFill>
              </w:rPr>
            </w:pPr>
          </w:p>
        </w:tc>
      </w:tr>
      <w:tr w14:paraId="78993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6" w:hRule="atLeast"/>
        </w:trPr>
        <w:tc>
          <w:tcPr>
            <w:tcW w:w="1526" w:type="dxa"/>
            <w:noWrap/>
            <w:vAlign w:val="center"/>
          </w:tcPr>
          <w:p w14:paraId="18F0E3F3">
            <w:pPr>
              <w:pStyle w:val="44"/>
              <w:spacing w:line="5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经营范围</w:t>
            </w:r>
          </w:p>
        </w:tc>
        <w:tc>
          <w:tcPr>
            <w:tcW w:w="6998" w:type="dxa"/>
            <w:gridSpan w:val="3"/>
            <w:noWrap/>
          </w:tcPr>
          <w:p w14:paraId="49E98338">
            <w:pPr>
              <w:pStyle w:val="44"/>
              <w:spacing w:line="560" w:lineRule="exact"/>
              <w:ind w:firstLine="1433"/>
              <w:rPr>
                <w:rFonts w:ascii="宋体" w:hAnsi="宋体" w:cs="宋体"/>
                <w:color w:val="000000" w:themeColor="text1"/>
                <w:sz w:val="24"/>
                <w:szCs w:val="24"/>
                <w:highlight w:val="none"/>
                <w14:textFill>
                  <w14:solidFill>
                    <w14:schemeClr w14:val="tx1"/>
                  </w14:solidFill>
                </w14:textFill>
              </w:rPr>
            </w:pPr>
          </w:p>
        </w:tc>
      </w:tr>
      <w:tr w14:paraId="000DE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6" w:type="dxa"/>
            <w:noWrap/>
            <w:vAlign w:val="center"/>
          </w:tcPr>
          <w:p w14:paraId="7A352202">
            <w:pPr>
              <w:pStyle w:val="44"/>
              <w:spacing w:line="5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c>
          <w:tcPr>
            <w:tcW w:w="6998" w:type="dxa"/>
            <w:gridSpan w:val="3"/>
            <w:noWrap/>
            <w:vAlign w:val="center"/>
          </w:tcPr>
          <w:p w14:paraId="53DA419B">
            <w:pPr>
              <w:pStyle w:val="44"/>
              <w:spacing w:line="500" w:lineRule="exact"/>
              <w:jc w:val="center"/>
              <w:rPr>
                <w:rFonts w:ascii="宋体" w:hAnsi="宋体" w:cs="宋体"/>
                <w:color w:val="000000" w:themeColor="text1"/>
                <w:sz w:val="24"/>
                <w:szCs w:val="24"/>
                <w:highlight w:val="none"/>
                <w14:textFill>
                  <w14:solidFill>
                    <w14:schemeClr w14:val="tx1"/>
                  </w14:solidFill>
                </w14:textFill>
              </w:rPr>
            </w:pPr>
          </w:p>
        </w:tc>
      </w:tr>
    </w:tbl>
    <w:p w14:paraId="14485CE8">
      <w:pPr>
        <w:outlineLvl w:val="1"/>
        <w:rPr>
          <w:rFonts w:ascii="宋体" w:hAnsi="宋体" w:cs="宋体"/>
          <w:i/>
          <w:color w:val="000000" w:themeColor="text1"/>
          <w:sz w:val="32"/>
          <w:szCs w:val="32"/>
          <w:highlight w:val="none"/>
          <w:u w:val="single"/>
          <w14:textFill>
            <w14:solidFill>
              <w14:schemeClr w14:val="tx1"/>
            </w14:solidFill>
          </w14:textFill>
        </w:rPr>
      </w:pPr>
      <w:r>
        <w:rPr>
          <w:rFonts w:hint="eastAsia" w:ascii="宋体" w:hAnsi="宋体" w:cs="宋体"/>
          <w:iCs/>
          <w:color w:val="000000" w:themeColor="text1"/>
          <w:sz w:val="32"/>
          <w:szCs w:val="32"/>
          <w:highlight w:val="none"/>
          <w14:textFill>
            <w14:solidFill>
              <w14:schemeClr w14:val="tx1"/>
            </w14:solidFill>
          </w14:textFill>
        </w:rPr>
        <w:br w:type="page" w:clear="all"/>
      </w:r>
      <w:r>
        <w:rPr>
          <w:rFonts w:hint="eastAsia" w:eastAsia="黑体"/>
          <w:b/>
          <w:color w:val="000000" w:themeColor="text1"/>
          <w:sz w:val="32"/>
          <w:szCs w:val="32"/>
          <w:highlight w:val="none"/>
          <w14:textFill>
            <w14:solidFill>
              <w14:schemeClr w14:val="tx1"/>
            </w14:solidFill>
          </w14:textFill>
        </w:rPr>
        <w:t>三、特定资格要求的证明文件</w:t>
      </w:r>
    </w:p>
    <w:p w14:paraId="33161F67">
      <w:pPr>
        <w:spacing w:line="4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如果本项目申请人的特定资格要求中要求提供的，必须提供。</w:t>
      </w:r>
    </w:p>
    <w:p w14:paraId="030F16D3">
      <w:pPr>
        <w:spacing w:line="46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（附营业执照、资质证书、安全生产许可证、项目负责人相关证书等资料。）</w:t>
      </w:r>
    </w:p>
    <w:p w14:paraId="01CD7BBE">
      <w:pPr>
        <w:rPr>
          <w:rFonts w:eastAsia="黑体"/>
          <w:iCs/>
          <w:color w:val="000000" w:themeColor="text1"/>
          <w:sz w:val="32"/>
          <w:szCs w:val="32"/>
          <w:highlight w:val="none"/>
          <w14:textFill>
            <w14:solidFill>
              <w14:schemeClr w14:val="tx1"/>
            </w14:solidFill>
          </w14:textFill>
        </w:rPr>
      </w:pPr>
    </w:p>
    <w:p w14:paraId="2C15E150">
      <w:pPr>
        <w:rPr>
          <w:rFonts w:eastAsia="黑体"/>
          <w:iCs/>
          <w:color w:val="000000" w:themeColor="text1"/>
          <w:sz w:val="32"/>
          <w:szCs w:val="32"/>
          <w:highlight w:val="none"/>
          <w14:textFill>
            <w14:solidFill>
              <w14:schemeClr w14:val="tx1"/>
            </w14:solidFill>
          </w14:textFill>
        </w:rPr>
      </w:pPr>
    </w:p>
    <w:p w14:paraId="32745EE7">
      <w:pPr>
        <w:rPr>
          <w:rFonts w:eastAsia="黑体"/>
          <w:iCs/>
          <w:color w:val="000000" w:themeColor="text1"/>
          <w:sz w:val="32"/>
          <w:szCs w:val="32"/>
          <w:highlight w:val="none"/>
          <w14:textFill>
            <w14:solidFill>
              <w14:schemeClr w14:val="tx1"/>
            </w14:solidFill>
          </w14:textFill>
        </w:rPr>
      </w:pPr>
    </w:p>
    <w:p w14:paraId="210C8455">
      <w:pPr>
        <w:rPr>
          <w:rFonts w:eastAsia="黑体"/>
          <w:iCs/>
          <w:color w:val="000000" w:themeColor="text1"/>
          <w:sz w:val="32"/>
          <w:szCs w:val="32"/>
          <w:highlight w:val="none"/>
          <w14:textFill>
            <w14:solidFill>
              <w14:schemeClr w14:val="tx1"/>
            </w14:solidFill>
          </w14:textFill>
        </w:rPr>
      </w:pPr>
    </w:p>
    <w:p w14:paraId="581B5AE8">
      <w:pPr>
        <w:rPr>
          <w:rFonts w:eastAsia="黑体"/>
          <w:iCs/>
          <w:color w:val="000000" w:themeColor="text1"/>
          <w:sz w:val="32"/>
          <w:szCs w:val="32"/>
          <w:highlight w:val="none"/>
          <w14:textFill>
            <w14:solidFill>
              <w14:schemeClr w14:val="tx1"/>
            </w14:solidFill>
          </w14:textFill>
        </w:rPr>
      </w:pPr>
    </w:p>
    <w:p w14:paraId="4D2E6CAB">
      <w:pPr>
        <w:rPr>
          <w:rFonts w:eastAsia="黑体"/>
          <w:iCs/>
          <w:color w:val="000000" w:themeColor="text1"/>
          <w:sz w:val="32"/>
          <w:szCs w:val="32"/>
          <w:highlight w:val="none"/>
          <w14:textFill>
            <w14:solidFill>
              <w14:schemeClr w14:val="tx1"/>
            </w14:solidFill>
          </w14:textFill>
        </w:rPr>
      </w:pPr>
    </w:p>
    <w:p w14:paraId="6230E673">
      <w:pPr>
        <w:rPr>
          <w:rFonts w:eastAsia="黑体"/>
          <w:iCs/>
          <w:color w:val="000000" w:themeColor="text1"/>
          <w:sz w:val="32"/>
          <w:szCs w:val="32"/>
          <w:highlight w:val="none"/>
          <w14:textFill>
            <w14:solidFill>
              <w14:schemeClr w14:val="tx1"/>
            </w14:solidFill>
          </w14:textFill>
        </w:rPr>
      </w:pPr>
    </w:p>
    <w:p w14:paraId="2A85C983">
      <w:pPr>
        <w:rPr>
          <w:rFonts w:eastAsia="黑体"/>
          <w:iCs/>
          <w:color w:val="000000" w:themeColor="text1"/>
          <w:sz w:val="32"/>
          <w:szCs w:val="32"/>
          <w:highlight w:val="none"/>
          <w14:textFill>
            <w14:solidFill>
              <w14:schemeClr w14:val="tx1"/>
            </w14:solidFill>
          </w14:textFill>
        </w:rPr>
      </w:pPr>
    </w:p>
    <w:p w14:paraId="1A003ECF">
      <w:pPr>
        <w:rPr>
          <w:rFonts w:eastAsia="黑体"/>
          <w:iCs/>
          <w:color w:val="000000" w:themeColor="text1"/>
          <w:sz w:val="32"/>
          <w:szCs w:val="32"/>
          <w:highlight w:val="none"/>
          <w14:textFill>
            <w14:solidFill>
              <w14:schemeClr w14:val="tx1"/>
            </w14:solidFill>
          </w14:textFill>
        </w:rPr>
      </w:pPr>
    </w:p>
    <w:p w14:paraId="6B3E336F">
      <w:pPr>
        <w:rPr>
          <w:rFonts w:eastAsia="黑体"/>
          <w:iCs/>
          <w:color w:val="000000" w:themeColor="text1"/>
          <w:sz w:val="32"/>
          <w:szCs w:val="32"/>
          <w:highlight w:val="none"/>
          <w14:textFill>
            <w14:solidFill>
              <w14:schemeClr w14:val="tx1"/>
            </w14:solidFill>
          </w14:textFill>
        </w:rPr>
      </w:pPr>
    </w:p>
    <w:p w14:paraId="038CF9FE">
      <w:pPr>
        <w:rPr>
          <w:rFonts w:eastAsia="黑体"/>
          <w:iCs/>
          <w:color w:val="000000" w:themeColor="text1"/>
          <w:sz w:val="32"/>
          <w:szCs w:val="32"/>
          <w:highlight w:val="none"/>
          <w14:textFill>
            <w14:solidFill>
              <w14:schemeClr w14:val="tx1"/>
            </w14:solidFill>
          </w14:textFill>
        </w:rPr>
      </w:pPr>
    </w:p>
    <w:p w14:paraId="35D9E32E">
      <w:pPr>
        <w:rPr>
          <w:rFonts w:eastAsia="黑体"/>
          <w:iCs/>
          <w:color w:val="000000" w:themeColor="text1"/>
          <w:sz w:val="32"/>
          <w:szCs w:val="32"/>
          <w:highlight w:val="none"/>
          <w14:textFill>
            <w14:solidFill>
              <w14:schemeClr w14:val="tx1"/>
            </w14:solidFill>
          </w14:textFill>
        </w:rPr>
      </w:pPr>
    </w:p>
    <w:p w14:paraId="7A8610BF">
      <w:pPr>
        <w:rPr>
          <w:rFonts w:eastAsia="黑体"/>
          <w:iCs/>
          <w:color w:val="000000" w:themeColor="text1"/>
          <w:sz w:val="32"/>
          <w:szCs w:val="32"/>
          <w:highlight w:val="none"/>
          <w14:textFill>
            <w14:solidFill>
              <w14:schemeClr w14:val="tx1"/>
            </w14:solidFill>
          </w14:textFill>
        </w:rPr>
      </w:pPr>
    </w:p>
    <w:p w14:paraId="1664BEE5">
      <w:pPr>
        <w:rPr>
          <w:rFonts w:eastAsia="黑体"/>
          <w:iCs/>
          <w:color w:val="000000" w:themeColor="text1"/>
          <w:sz w:val="32"/>
          <w:szCs w:val="32"/>
          <w:highlight w:val="none"/>
          <w14:textFill>
            <w14:solidFill>
              <w14:schemeClr w14:val="tx1"/>
            </w14:solidFill>
          </w14:textFill>
        </w:rPr>
      </w:pPr>
    </w:p>
    <w:p w14:paraId="747BBBEB">
      <w:pPr>
        <w:rPr>
          <w:rFonts w:eastAsia="黑体"/>
          <w:iCs/>
          <w:color w:val="000000" w:themeColor="text1"/>
          <w:sz w:val="32"/>
          <w:szCs w:val="32"/>
          <w:highlight w:val="none"/>
          <w14:textFill>
            <w14:solidFill>
              <w14:schemeClr w14:val="tx1"/>
            </w14:solidFill>
          </w14:textFill>
        </w:rPr>
      </w:pPr>
    </w:p>
    <w:p w14:paraId="0D70BA0E">
      <w:pPr>
        <w:rPr>
          <w:rFonts w:eastAsia="黑体"/>
          <w:iCs/>
          <w:color w:val="000000" w:themeColor="text1"/>
          <w:sz w:val="32"/>
          <w:szCs w:val="32"/>
          <w:highlight w:val="none"/>
          <w14:textFill>
            <w14:solidFill>
              <w14:schemeClr w14:val="tx1"/>
            </w14:solidFill>
          </w14:textFill>
        </w:rPr>
      </w:pPr>
    </w:p>
    <w:p w14:paraId="4BA6343D">
      <w:pPr>
        <w:rPr>
          <w:rFonts w:eastAsia="黑体"/>
          <w:iCs/>
          <w:color w:val="000000" w:themeColor="text1"/>
          <w:sz w:val="32"/>
          <w:szCs w:val="32"/>
          <w:highlight w:val="none"/>
          <w14:textFill>
            <w14:solidFill>
              <w14:schemeClr w14:val="tx1"/>
            </w14:solidFill>
          </w14:textFill>
        </w:rPr>
      </w:pPr>
    </w:p>
    <w:p w14:paraId="1303F0AF">
      <w:pPr>
        <w:rPr>
          <w:rFonts w:eastAsia="黑体"/>
          <w:iCs/>
          <w:color w:val="000000" w:themeColor="text1"/>
          <w:sz w:val="32"/>
          <w:szCs w:val="32"/>
          <w:highlight w:val="none"/>
          <w14:textFill>
            <w14:solidFill>
              <w14:schemeClr w14:val="tx1"/>
            </w14:solidFill>
          </w14:textFill>
        </w:rPr>
      </w:pPr>
    </w:p>
    <w:p w14:paraId="3E223CEF">
      <w:pPr>
        <w:rPr>
          <w:rFonts w:eastAsia="黑体"/>
          <w:iCs/>
          <w:color w:val="000000" w:themeColor="text1"/>
          <w:sz w:val="32"/>
          <w:szCs w:val="32"/>
          <w:highlight w:val="none"/>
          <w14:textFill>
            <w14:solidFill>
              <w14:schemeClr w14:val="tx1"/>
            </w14:solidFill>
          </w14:textFill>
        </w:rPr>
      </w:pPr>
    </w:p>
    <w:p w14:paraId="23CF1FAD">
      <w:pPr>
        <w:rPr>
          <w:rFonts w:eastAsia="黑体"/>
          <w:iCs/>
          <w:color w:val="000000" w:themeColor="text1"/>
          <w:sz w:val="32"/>
          <w:szCs w:val="32"/>
          <w:highlight w:val="none"/>
          <w14:textFill>
            <w14:solidFill>
              <w14:schemeClr w14:val="tx1"/>
            </w14:solidFill>
          </w14:textFill>
        </w:rPr>
      </w:pPr>
    </w:p>
    <w:p w14:paraId="64B5B744">
      <w:pPr>
        <w:rPr>
          <w:rFonts w:eastAsia="黑体"/>
          <w:iCs/>
          <w:color w:val="000000" w:themeColor="text1"/>
          <w:sz w:val="32"/>
          <w:szCs w:val="32"/>
          <w:highlight w:val="none"/>
          <w14:textFill>
            <w14:solidFill>
              <w14:schemeClr w14:val="tx1"/>
            </w14:solidFill>
          </w14:textFill>
        </w:rPr>
      </w:pPr>
    </w:p>
    <w:p w14:paraId="269807B3">
      <w:pPr>
        <w:rPr>
          <w:rFonts w:eastAsia="黑体"/>
          <w:iCs/>
          <w:color w:val="000000" w:themeColor="text1"/>
          <w:sz w:val="32"/>
          <w:szCs w:val="32"/>
          <w:highlight w:val="none"/>
          <w14:textFill>
            <w14:solidFill>
              <w14:schemeClr w14:val="tx1"/>
            </w14:solidFill>
          </w14:textFill>
        </w:rPr>
        <w:sectPr>
          <w:pgSz w:w="11906" w:h="16838"/>
          <w:pgMar w:top="1440" w:right="1080" w:bottom="1440" w:left="1080" w:header="851" w:footer="907" w:gutter="0"/>
          <w:pgNumType w:fmt="decimal"/>
          <w:cols w:space="1701" w:num="1"/>
          <w:docGrid w:linePitch="360" w:charSpace="0"/>
        </w:sectPr>
      </w:pPr>
    </w:p>
    <w:p w14:paraId="260F15F6">
      <w:pPr>
        <w:keepNext/>
        <w:keepLines/>
        <w:spacing w:before="145" w:after="145" w:line="360" w:lineRule="auto"/>
        <w:outlineLvl w:val="1"/>
        <w:rPr>
          <w:rFonts w:eastAsia="黑体"/>
          <w:b/>
          <w:color w:val="000000" w:themeColor="text1"/>
          <w:sz w:val="32"/>
          <w:szCs w:val="32"/>
          <w:highlight w:val="none"/>
          <w14:textFill>
            <w14:solidFill>
              <w14:schemeClr w14:val="tx1"/>
            </w14:solidFill>
          </w14:textFill>
        </w:rPr>
      </w:pPr>
      <w:r>
        <w:rPr>
          <w:rFonts w:hint="eastAsia" w:eastAsia="黑体"/>
          <w:b/>
          <w:color w:val="000000" w:themeColor="text1"/>
          <w:sz w:val="32"/>
          <w:szCs w:val="32"/>
          <w:highlight w:val="none"/>
          <w14:textFill>
            <w14:solidFill>
              <w14:schemeClr w14:val="tx1"/>
            </w14:solidFill>
          </w14:textFill>
        </w:rPr>
        <w:t>四、</w:t>
      </w:r>
      <w:bookmarkStart w:id="242" w:name="_Toc157942719"/>
      <w:r>
        <w:rPr>
          <w:rFonts w:hint="eastAsia" w:eastAsia="黑体"/>
          <w:b/>
          <w:color w:val="000000" w:themeColor="text1"/>
          <w:sz w:val="32"/>
          <w:szCs w:val="32"/>
          <w:highlight w:val="none"/>
          <w14:textFill>
            <w14:solidFill>
              <w14:schemeClr w14:val="tx1"/>
            </w14:solidFill>
          </w14:textFill>
        </w:rPr>
        <w:t>法定代表人身份证明或法人授权书</w:t>
      </w:r>
    </w:p>
    <w:p w14:paraId="279116F9">
      <w:pPr>
        <w:spacing w:before="60" w:after="60" w:line="360" w:lineRule="auto"/>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法定代表人身份证明</w:t>
      </w:r>
    </w:p>
    <w:p w14:paraId="27FB6212">
      <w:pPr>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w:t>
      </w:r>
    </w:p>
    <w:p w14:paraId="06481398">
      <w:pPr>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单位性质：</w:t>
      </w:r>
    </w:p>
    <w:p w14:paraId="731366A6">
      <w:pPr>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p>
    <w:p w14:paraId="2DC473C5">
      <w:pPr>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成立时间：年月日</w:t>
      </w:r>
    </w:p>
    <w:p w14:paraId="7B8354BB">
      <w:pPr>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经营期限：</w:t>
      </w:r>
    </w:p>
    <w:p w14:paraId="20B4CBF6">
      <w:pPr>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姓名：性别：年龄： 职务：</w:t>
      </w:r>
    </w:p>
    <w:p w14:paraId="3AC8525D">
      <w:pPr>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系（供应商名称）的法定代表人。</w:t>
      </w:r>
    </w:p>
    <w:p w14:paraId="07CE2E0E">
      <w:pPr>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特此证明。</w:t>
      </w:r>
    </w:p>
    <w:p w14:paraId="40FE218E">
      <w:pPr>
        <w:tabs>
          <w:tab w:val="left" w:pos="360"/>
        </w:tabs>
        <w:spacing w:line="360" w:lineRule="auto"/>
        <w:ind w:firstLine="24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单位名称：</w:t>
      </w:r>
      <w:r>
        <w:rPr>
          <w:rFonts w:hint="eastAsia" w:ascii="宋体" w:hAnsi="宋体" w:cs="宋体"/>
          <w:color w:val="000000" w:themeColor="text1"/>
          <w:sz w:val="24"/>
          <w:szCs w:val="24"/>
          <w:highlight w:val="none"/>
          <w:u w:val="single"/>
          <w14:textFill>
            <w14:solidFill>
              <w14:schemeClr w14:val="tx1"/>
            </w14:solidFill>
          </w14:textFill>
        </w:rPr>
        <w:t>（加盖CA电子公章）</w:t>
      </w:r>
    </w:p>
    <w:p w14:paraId="4D8E648C">
      <w:pPr>
        <w:spacing w:line="360" w:lineRule="auto"/>
        <w:ind w:firstLine="24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    年    月   日</w:t>
      </w:r>
    </w:p>
    <w:p w14:paraId="39AB976F">
      <w:pPr>
        <w:rPr>
          <w:rFonts w:ascii="宋体" w:hAnsi="宋体" w:cs="宋体"/>
          <w:color w:val="000000" w:themeColor="text1"/>
          <w:sz w:val="24"/>
          <w:szCs w:val="24"/>
          <w:highlight w:val="none"/>
          <w14:textFill>
            <w14:solidFill>
              <w14:schemeClr w14:val="tx1"/>
            </w14:solidFill>
          </w14:textFill>
        </w:rPr>
      </w:pPr>
    </w:p>
    <w:p w14:paraId="10DE2131">
      <w:pPr>
        <w:rPr>
          <w:rFonts w:ascii="宋体" w:hAnsi="宋体" w:cs="宋体"/>
          <w:color w:val="000000" w:themeColor="text1"/>
          <w:sz w:val="24"/>
          <w:szCs w:val="24"/>
          <w:highlight w:val="none"/>
          <w14:textFill>
            <w14:solidFill>
              <w14:schemeClr w14:val="tx1"/>
            </w14:solidFill>
          </w14:textFill>
        </w:rPr>
      </w:pPr>
    </w:p>
    <w:p w14:paraId="552E9596">
      <w:pPr>
        <w:spacing w:before="60" w:after="60" w:line="360" w:lineRule="auto"/>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法人授权书</w:t>
      </w:r>
    </w:p>
    <w:p w14:paraId="0772F47E">
      <w:pPr>
        <w:tabs>
          <w:tab w:val="left" w:pos="360"/>
        </w:tabs>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本授权书声明：（供应商名称）授权________________（被授权人的姓名）为我方就JSZC-号项目采购活动的合法代理人，以本单位名义全权处理一切与该项目采购有关的事务。</w:t>
      </w:r>
    </w:p>
    <w:p w14:paraId="25FE13B5">
      <w:pPr>
        <w:tabs>
          <w:tab w:val="left" w:pos="360"/>
        </w:tabs>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本授权书于______年____月____日起生效，特此声明。</w:t>
      </w:r>
    </w:p>
    <w:p w14:paraId="750016B4">
      <w:pPr>
        <w:tabs>
          <w:tab w:val="left" w:pos="360"/>
        </w:tabs>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被授权人身份证号码：</w:t>
      </w:r>
    </w:p>
    <w:p w14:paraId="38EA6BC6">
      <w:pPr>
        <w:tabs>
          <w:tab w:val="left" w:pos="360"/>
        </w:tabs>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被授权人联系电话：（手机）</w:t>
      </w:r>
    </w:p>
    <w:p w14:paraId="4B7EBD52">
      <w:pPr>
        <w:tabs>
          <w:tab w:val="left" w:pos="36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授权单位名称：</w:t>
      </w:r>
      <w:r>
        <w:rPr>
          <w:rFonts w:hint="eastAsia" w:ascii="宋体" w:hAnsi="宋体" w:cs="宋体"/>
          <w:color w:val="000000" w:themeColor="text1"/>
          <w:sz w:val="24"/>
          <w:szCs w:val="24"/>
          <w:highlight w:val="none"/>
          <w:u w:val="single"/>
          <w14:textFill>
            <w14:solidFill>
              <w14:schemeClr w14:val="tx1"/>
            </w14:solidFill>
          </w14:textFill>
        </w:rPr>
        <w:t xml:space="preserve">                  （加盖CA电子公章）</w:t>
      </w:r>
    </w:p>
    <w:p w14:paraId="1351EDAD">
      <w:pPr>
        <w:tabs>
          <w:tab w:val="left" w:pos="360"/>
        </w:tabs>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单位地址：</w:t>
      </w:r>
    </w:p>
    <w:p w14:paraId="49D76C7D">
      <w:pPr>
        <w:tabs>
          <w:tab w:val="left" w:pos="360"/>
        </w:tabs>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日期：</w:t>
      </w:r>
    </w:p>
    <w:p w14:paraId="5D57F187">
      <w:pPr>
        <w:tabs>
          <w:tab w:val="left" w:pos="360"/>
        </w:tabs>
        <w:spacing w:line="360" w:lineRule="auto"/>
        <w:rPr>
          <w:rFonts w:ascii="宋体" w:hAnsi="宋体" w:cs="宋体"/>
          <w:color w:val="000000" w:themeColor="text1"/>
          <w:sz w:val="24"/>
          <w:szCs w:val="24"/>
          <w:highlight w:val="none"/>
          <w14:textFill>
            <w14:solidFill>
              <w14:schemeClr w14:val="tx1"/>
            </w14:solidFill>
          </w14:textFill>
        </w:rPr>
      </w:pPr>
    </w:p>
    <w:p w14:paraId="3920F131">
      <w:pPr>
        <w:tabs>
          <w:tab w:val="left" w:pos="360"/>
        </w:tabs>
        <w:spacing w:line="360" w:lineRule="auto"/>
        <w:rPr>
          <w:rFonts w:ascii="宋体" w:hAnsi="宋体" w:cs="宋体"/>
          <w:color w:val="000000" w:themeColor="text1"/>
          <w:sz w:val="24"/>
          <w:szCs w:val="24"/>
          <w:highlight w:val="none"/>
          <w14:textFill>
            <w14:solidFill>
              <w14:schemeClr w14:val="tx1"/>
            </w14:solidFill>
          </w14:textFill>
        </w:rPr>
      </w:pPr>
    </w:p>
    <w:p w14:paraId="539E2EDE">
      <w:pPr>
        <w:tabs>
          <w:tab w:val="left" w:pos="360"/>
        </w:tabs>
        <w:spacing w:line="360" w:lineRule="auto"/>
        <w:rPr>
          <w:rFonts w:ascii="宋体" w:hAnsi="宋体" w:cs="宋体"/>
          <w:color w:val="000000" w:themeColor="text1"/>
          <w:sz w:val="24"/>
          <w:szCs w:val="24"/>
          <w:highlight w:val="none"/>
          <w14:textFill>
            <w14:solidFill>
              <w14:schemeClr w14:val="tx1"/>
            </w14:solidFill>
          </w14:textFill>
        </w:rPr>
      </w:pPr>
    </w:p>
    <w:p w14:paraId="78E5D9FF">
      <w:pPr>
        <w:keepNext/>
        <w:keepLines/>
        <w:spacing w:before="145" w:after="145" w:line="360" w:lineRule="auto"/>
        <w:outlineLvl w:val="1"/>
        <w:rPr>
          <w:rFonts w:eastAsia="黑体"/>
          <w:b/>
          <w:color w:val="000000" w:themeColor="text1"/>
          <w:sz w:val="32"/>
          <w:szCs w:val="32"/>
          <w:highlight w:val="none"/>
          <w14:textFill>
            <w14:solidFill>
              <w14:schemeClr w14:val="tx1"/>
            </w14:solidFill>
          </w14:textFill>
        </w:rPr>
      </w:pPr>
      <w:r>
        <w:rPr>
          <w:rFonts w:hint="eastAsia" w:eastAsia="黑体"/>
          <w:b/>
          <w:color w:val="000000" w:themeColor="text1"/>
          <w:sz w:val="32"/>
          <w:szCs w:val="32"/>
          <w:highlight w:val="none"/>
          <w14:textFill>
            <w14:solidFill>
              <w14:schemeClr w14:val="tx1"/>
            </w14:solidFill>
          </w14:textFill>
        </w:rPr>
        <w:t>五、中小企业或残疾人福利性单位声明函</w:t>
      </w:r>
    </w:p>
    <w:p w14:paraId="094F3909">
      <w:pPr>
        <w:spacing w:line="46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中小（微）企业声明函</w:t>
      </w:r>
    </w:p>
    <w:p w14:paraId="3C819DA4">
      <w:pPr>
        <w:spacing w:line="560" w:lineRule="exact"/>
        <w:ind w:firstLine="36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color w:val="000000" w:themeColor="text1"/>
          <w:sz w:val="24"/>
          <w:szCs w:val="24"/>
          <w:highlight w:val="none"/>
          <w:u w:val="single"/>
          <w14:textFill>
            <w14:solidFill>
              <w14:schemeClr w14:val="tx1"/>
            </w14:solidFill>
          </w14:textFill>
        </w:rPr>
        <w:t>（单位名称）</w:t>
      </w:r>
      <w:r>
        <w:rPr>
          <w:rFonts w:hint="eastAsia" w:ascii="宋体" w:hAnsi="宋体" w:cs="宋体"/>
          <w:color w:val="000000" w:themeColor="text1"/>
          <w:sz w:val="24"/>
          <w:szCs w:val="24"/>
          <w:highlight w:val="none"/>
          <w14:textFill>
            <w14:solidFill>
              <w14:schemeClr w14:val="tx1"/>
            </w14:solidFill>
          </w14:textFill>
        </w:rPr>
        <w:t>采购编号为，</w:t>
      </w:r>
      <w:r>
        <w:rPr>
          <w:rFonts w:hint="eastAsia" w:ascii="宋体" w:hAnsi="宋体" w:cs="宋体"/>
          <w:color w:val="000000" w:themeColor="text1"/>
          <w:sz w:val="24"/>
          <w:szCs w:val="24"/>
          <w:highlight w:val="none"/>
          <w:u w:val="single"/>
          <w14:textFill>
            <w14:solidFill>
              <w14:schemeClr w14:val="tx1"/>
            </w14:solidFill>
          </w14:textFill>
        </w:rPr>
        <w:t>（项目名称）</w:t>
      </w:r>
      <w:r>
        <w:rPr>
          <w:rFonts w:hint="eastAsia" w:ascii="宋体" w:hAnsi="宋体" w:cs="宋体"/>
          <w:color w:val="000000" w:themeColor="text1"/>
          <w:sz w:val="24"/>
          <w:szCs w:val="24"/>
          <w:highlight w:val="none"/>
          <w14:textFill>
            <w14:solidFill>
              <w14:schemeClr w14:val="tx1"/>
            </w14:solidFill>
          </w14:textFill>
        </w:rPr>
        <w:t>的采购活动，</w:t>
      </w:r>
      <w:r>
        <w:rPr>
          <w:color w:val="000000" w:themeColor="text1"/>
          <w:sz w:val="24"/>
          <w:szCs w:val="24"/>
          <w:highlight w:val="none"/>
          <w14:textFill>
            <w14:solidFill>
              <w14:schemeClr w14:val="tx1"/>
            </w14:solidFill>
          </w14:textFill>
        </w:rPr>
        <w:t>工程的施工单位全部为符合政策要求的中小企业（或者：服务全部由符合政策要求的中小企业承接）。</w:t>
      </w:r>
      <w:r>
        <w:rPr>
          <w:rFonts w:hint="eastAsia" w:ascii="宋体" w:hAnsi="宋体" w:cs="宋体"/>
          <w:color w:val="000000" w:themeColor="text1"/>
          <w:sz w:val="24"/>
          <w:szCs w:val="24"/>
          <w:highlight w:val="none"/>
          <w14:textFill>
            <w14:solidFill>
              <w14:schemeClr w14:val="tx1"/>
            </w14:solidFill>
          </w14:textFill>
        </w:rPr>
        <w:t>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151B917F">
      <w:pPr>
        <w:spacing w:line="560" w:lineRule="exact"/>
        <w:ind w:firstLine="360"/>
        <w:rPr>
          <w:rFonts w:ascii="宋体" w:hAnsi="宋体" w:cs="宋体"/>
          <w:i/>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（标的名称）</w:t>
      </w:r>
      <w:r>
        <w:rPr>
          <w:rFonts w:hint="eastAsia" w:ascii="宋体" w:hAnsi="宋体" w:cs="宋体"/>
          <w:i/>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属于</w:t>
      </w:r>
      <w:r>
        <w:rPr>
          <w:color w:val="000000" w:themeColor="text1"/>
          <w:sz w:val="24"/>
          <w:szCs w:val="24"/>
          <w:highlight w:val="none"/>
          <w14:textFill>
            <w14:solidFill>
              <w14:schemeClr w14:val="tx1"/>
            </w14:solidFill>
          </w14:textFill>
        </w:rPr>
        <w:t>（</w:t>
      </w:r>
      <w:r>
        <w:rPr>
          <w:i/>
          <w:color w:val="000000" w:themeColor="text1"/>
          <w:sz w:val="24"/>
          <w:szCs w:val="24"/>
          <w:highlight w:val="none"/>
          <w:u w:val="single"/>
          <w14:textFill>
            <w14:solidFill>
              <w14:schemeClr w14:val="tx1"/>
            </w14:solidFill>
          </w14:textFill>
        </w:rPr>
        <w:t>采购文件中明确的所属行业）</w:t>
      </w:r>
      <w:r>
        <w:rPr>
          <w:rFonts w:hint="eastAsia" w:ascii="宋体" w:hAnsi="宋体" w:cs="宋体"/>
          <w:color w:val="000000" w:themeColor="text1"/>
          <w:sz w:val="24"/>
          <w:szCs w:val="24"/>
          <w:highlight w:val="none"/>
          <w14:textFill>
            <w14:solidFill>
              <w14:schemeClr w14:val="tx1"/>
            </w14:solidFill>
          </w14:textFill>
        </w:rPr>
        <w:t>行业；</w:t>
      </w:r>
      <w:r>
        <w:rPr>
          <w:color w:val="000000" w:themeColor="text1"/>
          <w:sz w:val="24"/>
          <w:szCs w:val="24"/>
          <w:highlight w:val="none"/>
          <w14:textFill>
            <w14:solidFill>
              <w14:schemeClr w14:val="tx1"/>
            </w14:solidFill>
          </w14:textFill>
        </w:rPr>
        <w:t>承建（承接）</w:t>
      </w:r>
      <w:r>
        <w:rPr>
          <w:rFonts w:hint="eastAsia" w:ascii="宋体" w:hAnsi="宋体" w:cs="宋体"/>
          <w:color w:val="000000" w:themeColor="text1"/>
          <w:sz w:val="24"/>
          <w:szCs w:val="24"/>
          <w:highlight w:val="none"/>
          <w14:textFill>
            <w14:solidFill>
              <w14:schemeClr w14:val="tx1"/>
            </w14:solidFill>
          </w14:textFill>
        </w:rPr>
        <w:t>企业为</w:t>
      </w:r>
      <w:r>
        <w:rPr>
          <w:rFonts w:hint="eastAsia" w:ascii="宋体" w:hAnsi="宋体" w:cs="宋体"/>
          <w:color w:val="000000" w:themeColor="text1"/>
          <w:sz w:val="24"/>
          <w:szCs w:val="24"/>
          <w:highlight w:val="none"/>
          <w:u w:val="single"/>
          <w14:textFill>
            <w14:solidFill>
              <w14:schemeClr w14:val="tx1"/>
            </w14:solidFill>
          </w14:textFill>
        </w:rPr>
        <w:t>（企业名称）</w:t>
      </w:r>
      <w:r>
        <w:rPr>
          <w:rFonts w:hint="eastAsia" w:ascii="宋体" w:hAnsi="宋体" w:cs="宋体"/>
          <w:color w:val="000000" w:themeColor="text1"/>
          <w:sz w:val="24"/>
          <w:szCs w:val="24"/>
          <w:highlight w:val="none"/>
          <w14:textFill>
            <w14:solidFill>
              <w14:schemeClr w14:val="tx1"/>
            </w14:solidFill>
          </w14:textFill>
        </w:rPr>
        <w:t>，从业人员人，营业收入为万元，资产总额为万元</w:t>
      </w:r>
      <w:r>
        <w:rPr>
          <w:rFonts w:hint="eastAsia" w:ascii="宋体" w:hAnsi="宋体" w:cs="宋体"/>
          <w:color w:val="000000" w:themeColor="text1"/>
          <w:sz w:val="24"/>
          <w:szCs w:val="24"/>
          <w:highlight w:val="none"/>
          <w:vertAlign w:val="super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，属于</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中型企业、</w:t>
      </w:r>
      <w:r>
        <w:rPr>
          <w:rFonts w:hint="eastAsia" w:ascii="宋体" w:hAnsi="宋体" w:cs="宋体"/>
          <w:color w:val="000000" w:themeColor="text1"/>
          <w:sz w:val="24"/>
          <w:szCs w:val="24"/>
          <w:highlight w:val="none"/>
          <w:u w:val="single"/>
          <w14:textFill>
            <w14:solidFill>
              <w14:schemeClr w14:val="tx1"/>
            </w14:solidFill>
          </w14:textFill>
        </w:rPr>
        <w:t>小型企业、微型企业）；</w:t>
      </w:r>
    </w:p>
    <w:p w14:paraId="7785D605">
      <w:pPr>
        <w:spacing w:line="560" w:lineRule="exact"/>
        <w:ind w:firstLine="360"/>
        <w:rPr>
          <w:rFonts w:ascii="宋体" w:hAnsi="宋体" w:cs="宋体"/>
          <w:i/>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（标的名称）</w:t>
      </w:r>
      <w:r>
        <w:rPr>
          <w:rFonts w:hint="eastAsia" w:ascii="宋体" w:hAnsi="宋体" w:cs="宋体"/>
          <w:i/>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属于</w:t>
      </w:r>
      <w:r>
        <w:rPr>
          <w:color w:val="000000" w:themeColor="text1"/>
          <w:sz w:val="24"/>
          <w:szCs w:val="24"/>
          <w:highlight w:val="none"/>
          <w14:textFill>
            <w14:solidFill>
              <w14:schemeClr w14:val="tx1"/>
            </w14:solidFill>
          </w14:textFill>
        </w:rPr>
        <w:t>（</w:t>
      </w:r>
      <w:r>
        <w:rPr>
          <w:i/>
          <w:color w:val="000000" w:themeColor="text1"/>
          <w:sz w:val="24"/>
          <w:szCs w:val="24"/>
          <w:highlight w:val="none"/>
          <w:u w:val="single"/>
          <w14:textFill>
            <w14:solidFill>
              <w14:schemeClr w14:val="tx1"/>
            </w14:solidFill>
          </w14:textFill>
        </w:rPr>
        <w:t>采购文件中明确的所属行业）</w:t>
      </w:r>
      <w:r>
        <w:rPr>
          <w:rFonts w:hint="eastAsia" w:ascii="宋体" w:hAnsi="宋体" w:cs="宋体"/>
          <w:color w:val="000000" w:themeColor="text1"/>
          <w:sz w:val="24"/>
          <w:szCs w:val="24"/>
          <w:highlight w:val="none"/>
          <w14:textFill>
            <w14:solidFill>
              <w14:schemeClr w14:val="tx1"/>
            </w14:solidFill>
          </w14:textFill>
        </w:rPr>
        <w:t>行业；</w:t>
      </w:r>
      <w:r>
        <w:rPr>
          <w:color w:val="000000" w:themeColor="text1"/>
          <w:sz w:val="24"/>
          <w:szCs w:val="24"/>
          <w:highlight w:val="none"/>
          <w14:textFill>
            <w14:solidFill>
              <w14:schemeClr w14:val="tx1"/>
            </w14:solidFill>
          </w14:textFill>
        </w:rPr>
        <w:t>承建（承接）</w:t>
      </w:r>
      <w:r>
        <w:rPr>
          <w:rFonts w:hint="eastAsia" w:ascii="宋体" w:hAnsi="宋体" w:cs="宋体"/>
          <w:color w:val="000000" w:themeColor="text1"/>
          <w:sz w:val="24"/>
          <w:szCs w:val="24"/>
          <w:highlight w:val="none"/>
          <w14:textFill>
            <w14:solidFill>
              <w14:schemeClr w14:val="tx1"/>
            </w14:solidFill>
          </w14:textFill>
        </w:rPr>
        <w:t>企业为</w:t>
      </w:r>
      <w:r>
        <w:rPr>
          <w:rFonts w:hint="eastAsia" w:ascii="宋体" w:hAnsi="宋体" w:cs="宋体"/>
          <w:color w:val="000000" w:themeColor="text1"/>
          <w:sz w:val="24"/>
          <w:szCs w:val="24"/>
          <w:highlight w:val="none"/>
          <w:u w:val="single"/>
          <w14:textFill>
            <w14:solidFill>
              <w14:schemeClr w14:val="tx1"/>
            </w14:solidFill>
          </w14:textFill>
        </w:rPr>
        <w:t>（企业名称）</w:t>
      </w:r>
      <w:r>
        <w:rPr>
          <w:rFonts w:hint="eastAsia" w:ascii="宋体" w:hAnsi="宋体" w:cs="宋体"/>
          <w:color w:val="000000" w:themeColor="text1"/>
          <w:sz w:val="24"/>
          <w:szCs w:val="24"/>
          <w:highlight w:val="none"/>
          <w14:textFill>
            <w14:solidFill>
              <w14:schemeClr w14:val="tx1"/>
            </w14:solidFill>
          </w14:textFill>
        </w:rPr>
        <w:t>，从业人员人，营业收入为万元，资产总额为万元</w:t>
      </w:r>
      <w:r>
        <w:rPr>
          <w:rFonts w:hint="eastAsia" w:ascii="宋体" w:hAnsi="宋体" w:cs="宋体"/>
          <w:color w:val="000000" w:themeColor="text1"/>
          <w:sz w:val="24"/>
          <w:szCs w:val="24"/>
          <w:highlight w:val="none"/>
          <w:vertAlign w:val="super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，属于</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中型企业、</w:t>
      </w:r>
      <w:r>
        <w:rPr>
          <w:rFonts w:hint="eastAsia" w:ascii="宋体" w:hAnsi="宋体" w:cs="宋体"/>
          <w:color w:val="000000" w:themeColor="text1"/>
          <w:sz w:val="24"/>
          <w:szCs w:val="24"/>
          <w:highlight w:val="none"/>
          <w:u w:val="single"/>
          <w14:textFill>
            <w14:solidFill>
              <w14:schemeClr w14:val="tx1"/>
            </w14:solidFill>
          </w14:textFill>
        </w:rPr>
        <w:t>小型企业、微型企业）；</w:t>
      </w:r>
    </w:p>
    <w:p w14:paraId="1E08613D">
      <w:pPr>
        <w:spacing w:line="560" w:lineRule="exact"/>
        <w:ind w:firstLine="36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p w14:paraId="59821803">
      <w:pPr>
        <w:spacing w:line="560" w:lineRule="exact"/>
        <w:ind w:firstLine="36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0F1B5A41">
      <w:pPr>
        <w:spacing w:line="560" w:lineRule="exact"/>
        <w:ind w:firstLine="36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6F6C6065">
      <w:pPr>
        <w:spacing w:line="560" w:lineRule="exact"/>
        <w:ind w:right="720"/>
        <w:rPr>
          <w:rFonts w:ascii="宋体" w:hAnsi="宋体" w:cs="宋体"/>
          <w:color w:val="000000" w:themeColor="text1"/>
          <w:sz w:val="24"/>
          <w:szCs w:val="24"/>
          <w:highlight w:val="none"/>
          <w14:textFill>
            <w14:solidFill>
              <w14:schemeClr w14:val="tx1"/>
            </w14:solidFill>
          </w14:textFill>
        </w:rPr>
      </w:pPr>
    </w:p>
    <w:p w14:paraId="313333F6">
      <w:pPr>
        <w:spacing w:line="560" w:lineRule="exact"/>
        <w:ind w:right="180" w:firstLine="360"/>
        <w:jc w:val="righ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企业名称（加盖CA电子公章）：</w:t>
      </w:r>
    </w:p>
    <w:p w14:paraId="38F5333D">
      <w:pPr>
        <w:spacing w:line="560" w:lineRule="exact"/>
        <w:ind w:right="480" w:firstLine="54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  期：</w:t>
      </w:r>
    </w:p>
    <w:p w14:paraId="0845502C">
      <w:pPr>
        <w:spacing w:line="560" w:lineRule="exact"/>
        <w:ind w:firstLine="240"/>
        <w:rPr>
          <w:rFonts w:ascii="宋体" w:hAnsi="宋体" w:cs="宋体"/>
          <w:color w:val="000000" w:themeColor="text1"/>
          <w:sz w:val="24"/>
          <w:szCs w:val="24"/>
          <w:highlight w:val="none"/>
          <w14:textFill>
            <w14:solidFill>
              <w14:schemeClr w14:val="tx1"/>
            </w14:solidFill>
          </w14:textFill>
        </w:rPr>
      </w:pPr>
    </w:p>
    <w:p w14:paraId="1F1F3D80">
      <w:pPr>
        <w:spacing w:line="56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备注：从业人员、营业收入、资产总额填报上一年数据，无上一年数据的新成立企业可不填报。</w:t>
      </w:r>
    </w:p>
    <w:p w14:paraId="35852145">
      <w:pPr>
        <w:spacing w:line="46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clear="all"/>
      </w:r>
      <w:r>
        <w:rPr>
          <w:rFonts w:hint="eastAsia" w:ascii="宋体" w:hAnsi="宋体" w:cs="宋体"/>
          <w:b/>
          <w:color w:val="000000" w:themeColor="text1"/>
          <w:sz w:val="32"/>
          <w:szCs w:val="32"/>
          <w:highlight w:val="none"/>
          <w14:textFill>
            <w14:solidFill>
              <w14:schemeClr w14:val="tx1"/>
            </w14:solidFill>
          </w14:textFill>
        </w:rPr>
        <w:t>残疾人福利性单位声明函</w:t>
      </w:r>
    </w:p>
    <w:p w14:paraId="32ED6902">
      <w:pPr>
        <w:spacing w:line="588" w:lineRule="exact"/>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或者提供其他残疾人福利性单位制造的货物（不包括使用非残疾人福利性单位注册商标的货物）。</w:t>
      </w:r>
    </w:p>
    <w:p w14:paraId="7377A11B">
      <w:pPr>
        <w:spacing w:line="588" w:lineRule="exact"/>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本单位对上述声明的真实性负责。如有虚假，将依法承担相应责任。</w:t>
      </w:r>
    </w:p>
    <w:p w14:paraId="6A2BFEA7">
      <w:pPr>
        <w:spacing w:line="588" w:lineRule="exact"/>
        <w:ind w:firstLine="480"/>
        <w:rPr>
          <w:rFonts w:ascii="宋体" w:hAnsi="宋体" w:cs="宋体"/>
          <w:color w:val="000000" w:themeColor="text1"/>
          <w:sz w:val="24"/>
          <w:szCs w:val="21"/>
          <w:highlight w:val="none"/>
          <w14:textFill>
            <w14:solidFill>
              <w14:schemeClr w14:val="tx1"/>
            </w14:solidFill>
          </w14:textFill>
        </w:rPr>
      </w:pPr>
    </w:p>
    <w:p w14:paraId="4F03BDD8">
      <w:pPr>
        <w:spacing w:line="588" w:lineRule="exact"/>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（注：非残疾人福利性单位不需提供此函。）</w:t>
      </w:r>
    </w:p>
    <w:p w14:paraId="4A27D88E">
      <w:pPr>
        <w:spacing w:line="588" w:lineRule="exact"/>
        <w:ind w:firstLine="624"/>
        <w:rPr>
          <w:rFonts w:ascii="宋体" w:hAnsi="宋体" w:cs="宋体"/>
          <w:color w:val="000000" w:themeColor="text1"/>
          <w:spacing w:val="6"/>
          <w:sz w:val="30"/>
          <w:szCs w:val="30"/>
          <w:highlight w:val="none"/>
          <w14:textFill>
            <w14:solidFill>
              <w14:schemeClr w14:val="tx1"/>
            </w14:solidFill>
          </w14:textFill>
        </w:rPr>
      </w:pPr>
    </w:p>
    <w:p w14:paraId="76BD124E">
      <w:pPr>
        <w:tabs>
          <w:tab w:val="left" w:pos="4860"/>
        </w:tabs>
        <w:spacing w:line="588" w:lineRule="exact"/>
        <w:ind w:right="1560" w:firstLine="624"/>
        <w:jc w:val="center"/>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          供应商全称（加盖CA电子公章）：</w:t>
      </w:r>
    </w:p>
    <w:p w14:paraId="47FC728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日  期：</w:t>
      </w:r>
    </w:p>
    <w:p w14:paraId="7BF698C6">
      <w:pPr>
        <w:rPr>
          <w:rFonts w:eastAsia="黑体"/>
          <w:iCs/>
          <w:color w:val="000000" w:themeColor="text1"/>
          <w:sz w:val="32"/>
          <w:szCs w:val="32"/>
          <w:highlight w:val="none"/>
          <w14:textFill>
            <w14:solidFill>
              <w14:schemeClr w14:val="tx1"/>
            </w14:solidFill>
          </w14:textFill>
        </w:rPr>
      </w:pPr>
    </w:p>
    <w:p w14:paraId="5B576D0D">
      <w:pPr>
        <w:rPr>
          <w:rFonts w:eastAsia="黑体"/>
          <w:iCs/>
          <w:color w:val="000000" w:themeColor="text1"/>
          <w:sz w:val="32"/>
          <w:szCs w:val="32"/>
          <w:highlight w:val="none"/>
          <w14:textFill>
            <w14:solidFill>
              <w14:schemeClr w14:val="tx1"/>
            </w14:solidFill>
          </w14:textFill>
        </w:rPr>
      </w:pPr>
    </w:p>
    <w:p w14:paraId="61F56DFA">
      <w:pPr>
        <w:rPr>
          <w:rFonts w:eastAsia="黑体"/>
          <w:iCs/>
          <w:color w:val="000000" w:themeColor="text1"/>
          <w:sz w:val="32"/>
          <w:szCs w:val="32"/>
          <w:highlight w:val="none"/>
          <w14:textFill>
            <w14:solidFill>
              <w14:schemeClr w14:val="tx1"/>
            </w14:solidFill>
          </w14:textFill>
        </w:rPr>
      </w:pPr>
    </w:p>
    <w:p w14:paraId="5C59BA63">
      <w:pPr>
        <w:rPr>
          <w:rFonts w:eastAsia="黑体"/>
          <w:iCs/>
          <w:color w:val="000000" w:themeColor="text1"/>
          <w:sz w:val="32"/>
          <w:szCs w:val="32"/>
          <w:highlight w:val="none"/>
          <w14:textFill>
            <w14:solidFill>
              <w14:schemeClr w14:val="tx1"/>
            </w14:solidFill>
          </w14:textFill>
        </w:rPr>
      </w:pPr>
    </w:p>
    <w:p w14:paraId="049ED608">
      <w:pPr>
        <w:rPr>
          <w:rFonts w:eastAsia="黑体"/>
          <w:iCs/>
          <w:color w:val="000000" w:themeColor="text1"/>
          <w:sz w:val="32"/>
          <w:szCs w:val="32"/>
          <w:highlight w:val="none"/>
          <w14:textFill>
            <w14:solidFill>
              <w14:schemeClr w14:val="tx1"/>
            </w14:solidFill>
          </w14:textFill>
        </w:rPr>
      </w:pPr>
    </w:p>
    <w:p w14:paraId="0B74AA52">
      <w:pPr>
        <w:rPr>
          <w:rFonts w:eastAsia="黑体"/>
          <w:iCs/>
          <w:color w:val="000000" w:themeColor="text1"/>
          <w:sz w:val="32"/>
          <w:szCs w:val="32"/>
          <w:highlight w:val="none"/>
          <w14:textFill>
            <w14:solidFill>
              <w14:schemeClr w14:val="tx1"/>
            </w14:solidFill>
          </w14:textFill>
        </w:rPr>
        <w:sectPr>
          <w:pgSz w:w="11906" w:h="16838"/>
          <w:pgMar w:top="1440" w:right="1080" w:bottom="1440" w:left="1080" w:header="851" w:footer="907" w:gutter="0"/>
          <w:pgNumType w:fmt="decimal"/>
          <w:cols w:space="1701" w:num="1"/>
          <w:docGrid w:linePitch="360" w:charSpace="0"/>
        </w:sectPr>
      </w:pPr>
    </w:p>
    <w:bookmarkEnd w:id="242"/>
    <w:p w14:paraId="480B5FDC">
      <w:pPr>
        <w:keepNext/>
        <w:keepLines/>
        <w:spacing w:before="145" w:after="145" w:line="360" w:lineRule="auto"/>
        <w:outlineLvl w:val="1"/>
        <w:rPr>
          <w:rFonts w:eastAsia="黑体"/>
          <w:b/>
          <w:color w:val="000000" w:themeColor="text1"/>
          <w:sz w:val="32"/>
          <w:szCs w:val="32"/>
          <w:highlight w:val="none"/>
          <w14:textFill>
            <w14:solidFill>
              <w14:schemeClr w14:val="tx1"/>
            </w14:solidFill>
          </w14:textFill>
        </w:rPr>
      </w:pPr>
      <w:r>
        <w:rPr>
          <w:rFonts w:hint="eastAsia" w:eastAsia="黑体"/>
          <w:b/>
          <w:color w:val="000000" w:themeColor="text1"/>
          <w:sz w:val="32"/>
          <w:szCs w:val="32"/>
          <w:highlight w:val="none"/>
          <w14:textFill>
            <w14:solidFill>
              <w14:schemeClr w14:val="tx1"/>
            </w14:solidFill>
          </w14:textFill>
        </w:rPr>
        <w:t>六、开标一览表</w:t>
      </w:r>
    </w:p>
    <w:p w14:paraId="1327C039">
      <w:pPr>
        <w:spacing w:line="500" w:lineRule="exact"/>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投标人全称（加盖CA电子签章）：</w:t>
      </w:r>
    </w:p>
    <w:p w14:paraId="56C73E5E">
      <w:pPr>
        <w:spacing w:line="500" w:lineRule="exact"/>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项目名称：    </w:t>
      </w:r>
    </w:p>
    <w:p w14:paraId="0439303D">
      <w:pPr>
        <w:spacing w:line="500" w:lineRule="exact"/>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项目编号：   </w:t>
      </w:r>
    </w:p>
    <w:tbl>
      <w:tblPr>
        <w:tblStyle w:val="13"/>
        <w:tblW w:w="0" w:type="auto"/>
        <w:tblInd w:w="-9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96" w:type="dxa"/>
          <w:left w:w="96" w:type="dxa"/>
          <w:bottom w:w="96" w:type="dxa"/>
          <w:right w:w="96" w:type="dxa"/>
        </w:tblCellMar>
      </w:tblPr>
      <w:tblGrid>
        <w:gridCol w:w="2264"/>
        <w:gridCol w:w="6564"/>
      </w:tblGrid>
      <w:tr w14:paraId="18B0171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96" w:type="dxa"/>
            <w:left w:w="96" w:type="dxa"/>
            <w:bottom w:w="96" w:type="dxa"/>
            <w:right w:w="96" w:type="dxa"/>
          </w:tblCellMar>
        </w:tblPrEx>
        <w:trPr>
          <w:trHeight w:val="1163" w:hRule="atLeast"/>
        </w:trPr>
        <w:tc>
          <w:tcPr>
            <w:tcW w:w="2264" w:type="dxa"/>
            <w:noWrap/>
            <w:tcMar>
              <w:top w:w="96" w:type="dxa"/>
              <w:left w:w="96" w:type="dxa"/>
              <w:bottom w:w="96" w:type="dxa"/>
              <w:right w:w="96" w:type="dxa"/>
            </w:tcMar>
            <w:vAlign w:val="center"/>
          </w:tcPr>
          <w:p w14:paraId="06BB10CB">
            <w:pPr>
              <w:pBdr>
                <w:top w:val="none" w:color="000000" w:sz="0" w:space="0"/>
                <w:left w:val="none" w:color="000000" w:sz="0" w:space="0"/>
                <w:bottom w:val="none" w:color="000000" w:sz="0" w:space="0"/>
                <w:right w:val="none" w:color="000000" w:sz="0" w:space="0"/>
              </w:pBdr>
              <w:spacing w:before="240" w:after="240"/>
              <w:jc w:val="center"/>
              <w:rPr>
                <w:color w:val="000000" w:themeColor="text1"/>
                <w:highlight w:val="none"/>
                <w14:textFill>
                  <w14:solidFill>
                    <w14:schemeClr w14:val="tx1"/>
                  </w14:solidFill>
                </w14:textFill>
              </w:rPr>
            </w:pPr>
            <w:r>
              <w:rPr>
                <w:rFonts w:ascii="Arial" w:hAnsi="Arial" w:eastAsia="Arial" w:cs="Arial"/>
                <w:b/>
                <w:color w:val="000000" w:themeColor="text1"/>
                <w:sz w:val="24"/>
                <w:highlight w:val="none"/>
                <w14:textFill>
                  <w14:solidFill>
                    <w14:schemeClr w14:val="tx1"/>
                  </w14:solidFill>
                </w14:textFill>
              </w:rPr>
              <w:t>标题</w:t>
            </w:r>
          </w:p>
        </w:tc>
        <w:tc>
          <w:tcPr>
            <w:tcW w:w="6564" w:type="dxa"/>
            <w:noWrap/>
            <w:tcMar>
              <w:top w:w="96" w:type="dxa"/>
              <w:left w:w="96" w:type="dxa"/>
              <w:bottom w:w="96" w:type="dxa"/>
              <w:right w:w="96" w:type="dxa"/>
            </w:tcMar>
            <w:vAlign w:val="center"/>
          </w:tcPr>
          <w:p w14:paraId="27945810">
            <w:pPr>
              <w:pBdr>
                <w:top w:val="none" w:color="000000" w:sz="0" w:space="0"/>
                <w:left w:val="none" w:color="000000" w:sz="0" w:space="0"/>
                <w:bottom w:val="none" w:color="000000" w:sz="0" w:space="0"/>
                <w:right w:val="none" w:color="000000" w:sz="0" w:space="0"/>
              </w:pBdr>
              <w:spacing w:before="240" w:after="240"/>
              <w:jc w:val="center"/>
              <w:rPr>
                <w:color w:val="000000" w:themeColor="text1"/>
                <w:highlight w:val="none"/>
                <w14:textFill>
                  <w14:solidFill>
                    <w14:schemeClr w14:val="tx1"/>
                  </w14:solidFill>
                </w14:textFill>
              </w:rPr>
            </w:pPr>
            <w:r>
              <w:rPr>
                <w:rFonts w:ascii="Arial" w:hAnsi="Arial" w:eastAsia="Arial" w:cs="Arial"/>
                <w:b/>
                <w:color w:val="000000" w:themeColor="text1"/>
                <w:sz w:val="24"/>
                <w:highlight w:val="none"/>
                <w14:textFill>
                  <w14:solidFill>
                    <w14:schemeClr w14:val="tx1"/>
                  </w14:solidFill>
                </w14:textFill>
              </w:rPr>
              <w:t>内容</w:t>
            </w:r>
          </w:p>
        </w:tc>
      </w:tr>
      <w:tr w14:paraId="00187FD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96" w:type="dxa"/>
            <w:left w:w="96" w:type="dxa"/>
            <w:bottom w:w="96" w:type="dxa"/>
            <w:right w:w="96" w:type="dxa"/>
          </w:tblCellMar>
        </w:tblPrEx>
        <w:trPr>
          <w:trHeight w:val="1163" w:hRule="atLeast"/>
        </w:trPr>
        <w:tc>
          <w:tcPr>
            <w:tcW w:w="2264" w:type="dxa"/>
            <w:noWrap/>
            <w:tcMar>
              <w:top w:w="96" w:type="dxa"/>
              <w:left w:w="96" w:type="dxa"/>
              <w:bottom w:w="96" w:type="dxa"/>
              <w:right w:w="96" w:type="dxa"/>
            </w:tcMar>
            <w:vAlign w:val="center"/>
          </w:tcPr>
          <w:p w14:paraId="68EE867D">
            <w:pPr>
              <w:spacing w:line="57" w:lineRule="atLeast"/>
              <w:jc w:val="center"/>
              <w:rPr>
                <w:color w:val="000000" w:themeColor="text1"/>
                <w:highlight w:val="none"/>
                <w14:textFill>
                  <w14:solidFill>
                    <w14:schemeClr w14:val="tx1"/>
                  </w14:solidFill>
                </w14:textFill>
              </w:rPr>
            </w:pPr>
            <w:r>
              <w:rPr>
                <w:rFonts w:ascii="Arial" w:hAnsi="Arial" w:eastAsia="Arial" w:cs="Arial"/>
                <w:b/>
                <w:color w:val="000000" w:themeColor="text1"/>
                <w:sz w:val="24"/>
                <w:highlight w:val="none"/>
                <w14:textFill>
                  <w14:solidFill>
                    <w14:schemeClr w14:val="tx1"/>
                  </w14:solidFill>
                </w14:textFill>
              </w:rPr>
              <w:t>报价</w:t>
            </w:r>
          </w:p>
        </w:tc>
        <w:tc>
          <w:tcPr>
            <w:tcW w:w="6564" w:type="dxa"/>
            <w:noWrap/>
            <w:tcMar>
              <w:top w:w="96" w:type="dxa"/>
              <w:left w:w="96" w:type="dxa"/>
              <w:bottom w:w="96" w:type="dxa"/>
              <w:right w:w="96" w:type="dxa"/>
            </w:tcMar>
            <w:vAlign w:val="center"/>
          </w:tcPr>
          <w:p w14:paraId="3F9AD52A">
            <w:pPr>
              <w:pBdr>
                <w:top w:val="none" w:color="000000" w:sz="0" w:space="0"/>
                <w:left w:val="none" w:color="000000" w:sz="0" w:space="0"/>
                <w:bottom w:val="none" w:color="000000" w:sz="0" w:space="0"/>
                <w:right w:val="none" w:color="000000" w:sz="0" w:space="0"/>
              </w:pBdr>
              <w:spacing w:before="240" w:after="240"/>
              <w:rPr>
                <w:color w:val="000000" w:themeColor="text1"/>
                <w:highlight w:val="none"/>
                <w14:textFill>
                  <w14:solidFill>
                    <w14:schemeClr w14:val="tx1"/>
                  </w14:solidFill>
                </w14:textFill>
              </w:rPr>
            </w:pPr>
            <w:r>
              <w:rPr>
                <w:rFonts w:ascii="Arial" w:hAnsi="Arial" w:eastAsia="Arial" w:cs="Arial"/>
                <w:color w:val="000000" w:themeColor="text1"/>
                <w:sz w:val="24"/>
                <w:highlight w:val="none"/>
                <w14:textFill>
                  <w14:solidFill>
                    <w14:schemeClr w14:val="tx1"/>
                  </w14:solidFill>
                </w14:textFill>
              </w:rPr>
              <w:t xml:space="preserve">         </w:t>
            </w:r>
            <w:r>
              <w:rPr>
                <w:rFonts w:ascii="Arial" w:hAnsi="Arial" w:eastAsia="Arial" w:cs="Arial"/>
                <w:color w:val="000000" w:themeColor="text1"/>
                <w:sz w:val="24"/>
                <w:highlight w:val="none"/>
                <w:u w:val="single"/>
                <w14:textFill>
                  <w14:solidFill>
                    <w14:schemeClr w14:val="tx1"/>
                  </w14:solidFill>
                </w14:textFill>
              </w:rPr>
              <w:t xml:space="preserve">    </w:t>
            </w:r>
            <w:r>
              <w:rPr>
                <w:rFonts w:ascii="Arial" w:hAnsi="Arial" w:eastAsia="Arial" w:cs="Arial"/>
                <w:color w:val="000000" w:themeColor="text1"/>
                <w:sz w:val="28"/>
                <w:szCs w:val="24"/>
                <w:highlight w:val="none"/>
                <w:u w:val="single"/>
                <w14:textFill>
                  <w14:solidFill>
                    <w14:schemeClr w14:val="tx1"/>
                  </w14:solidFill>
                </w14:textFill>
              </w:rPr>
              <w:t xml:space="preserve"> </w:t>
            </w:r>
            <w:r>
              <w:rPr>
                <w:rFonts w:ascii="Arial" w:hAnsi="Arial" w:eastAsia="Arial" w:cs="Arial"/>
                <w:color w:val="000000" w:themeColor="text1"/>
                <w:sz w:val="28"/>
                <w:szCs w:val="24"/>
                <w:highlight w:val="none"/>
                <w14:textFill>
                  <w14:solidFill>
                    <w14:schemeClr w14:val="tx1"/>
                  </w14:solidFill>
                </w14:textFill>
              </w:rPr>
              <w:t>元</w:t>
            </w:r>
          </w:p>
        </w:tc>
      </w:tr>
      <w:tr w14:paraId="617C70A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96" w:type="dxa"/>
            <w:left w:w="96" w:type="dxa"/>
            <w:bottom w:w="96" w:type="dxa"/>
            <w:right w:w="96" w:type="dxa"/>
          </w:tblCellMar>
        </w:tblPrEx>
        <w:trPr>
          <w:trHeight w:val="1163" w:hRule="atLeast"/>
        </w:trPr>
        <w:tc>
          <w:tcPr>
            <w:tcW w:w="2264" w:type="dxa"/>
            <w:noWrap/>
            <w:tcMar>
              <w:top w:w="96" w:type="dxa"/>
              <w:left w:w="96" w:type="dxa"/>
              <w:bottom w:w="96" w:type="dxa"/>
              <w:right w:w="96" w:type="dxa"/>
            </w:tcMar>
            <w:vAlign w:val="center"/>
          </w:tcPr>
          <w:p w14:paraId="622B83A4">
            <w:pPr>
              <w:spacing w:line="57" w:lineRule="atLeast"/>
              <w:jc w:val="center"/>
              <w:rPr>
                <w:rFonts w:hint="eastAsia" w:ascii="Arial" w:hAnsi="Arial" w:eastAsia="宋体" w:cs="Arial"/>
                <w:b/>
                <w:color w:val="000000" w:themeColor="text1"/>
                <w:sz w:val="24"/>
                <w:highlight w:val="none"/>
                <w:lang w:eastAsia="zh-CN"/>
                <w14:textFill>
                  <w14:solidFill>
                    <w14:schemeClr w14:val="tx1"/>
                  </w14:solidFill>
                </w14:textFill>
              </w:rPr>
            </w:pPr>
            <w:r>
              <w:rPr>
                <w:rFonts w:hint="eastAsia" w:ascii="Arial" w:hAnsi="Arial" w:cs="Arial"/>
                <w:b/>
                <w:color w:val="000000" w:themeColor="text1"/>
                <w:sz w:val="24"/>
                <w:highlight w:val="none"/>
                <w:lang w:val="en-US" w:eastAsia="zh-CN"/>
                <w14:textFill>
                  <w14:solidFill>
                    <w14:schemeClr w14:val="tx1"/>
                  </w14:solidFill>
                </w14:textFill>
              </w:rPr>
              <w:t>工期</w:t>
            </w:r>
          </w:p>
        </w:tc>
        <w:tc>
          <w:tcPr>
            <w:tcW w:w="6564" w:type="dxa"/>
            <w:noWrap/>
            <w:tcMar>
              <w:top w:w="96" w:type="dxa"/>
              <w:left w:w="96" w:type="dxa"/>
              <w:bottom w:w="96" w:type="dxa"/>
              <w:right w:w="96" w:type="dxa"/>
            </w:tcMar>
            <w:vAlign w:val="center"/>
          </w:tcPr>
          <w:p w14:paraId="41450233">
            <w:pPr>
              <w:pBdr>
                <w:top w:val="none" w:color="000000" w:sz="0" w:space="0"/>
                <w:left w:val="none" w:color="000000" w:sz="0" w:space="0"/>
                <w:bottom w:val="none" w:color="000000" w:sz="0" w:space="0"/>
                <w:right w:val="none" w:color="000000" w:sz="0" w:space="0"/>
              </w:pBdr>
              <w:spacing w:before="240" w:after="240"/>
              <w:ind w:firstLine="840" w:firstLineChars="300"/>
              <w:jc w:val="both"/>
              <w:rPr>
                <w:rFonts w:hint="default" w:ascii="Arial" w:hAnsi="Arial" w:eastAsia="宋体" w:cs="Arial"/>
                <w:color w:val="000000" w:themeColor="text1"/>
                <w:sz w:val="24"/>
                <w:highlight w:val="none"/>
                <w:lang w:val="en-US" w:eastAsia="zh-CN"/>
                <w14:textFill>
                  <w14:solidFill>
                    <w14:schemeClr w14:val="tx1"/>
                  </w14:solidFill>
                </w14:textFill>
              </w:rPr>
            </w:pPr>
            <w:r>
              <w:rPr>
                <w:rFonts w:hint="eastAsia" w:ascii="Arial" w:hAnsi="Arial" w:eastAsia="Arial" w:cs="Arial"/>
                <w:color w:val="000000" w:themeColor="text1"/>
                <w:sz w:val="28"/>
                <w:szCs w:val="24"/>
                <w:highlight w:val="none"/>
                <w:u w:val="single"/>
                <w:lang w:val="en-US" w:eastAsia="zh-CN"/>
                <w14:textFill>
                  <w14:solidFill>
                    <w14:schemeClr w14:val="tx1"/>
                  </w14:solidFill>
                </w14:textFill>
              </w:rPr>
              <w:t xml:space="preserve">     </w:t>
            </w:r>
            <w:r>
              <w:rPr>
                <w:rFonts w:hint="eastAsia" w:ascii="Arial" w:hAnsi="Arial" w:eastAsia="Arial" w:cs="Arial"/>
                <w:color w:val="000000" w:themeColor="text1"/>
                <w:sz w:val="28"/>
                <w:szCs w:val="24"/>
                <w:highlight w:val="none"/>
                <w:u w:val="none"/>
                <w:lang w:val="en-US" w:eastAsia="zh-CN"/>
                <w14:textFill>
                  <w14:solidFill>
                    <w14:schemeClr w14:val="tx1"/>
                  </w14:solidFill>
                </w14:textFill>
              </w:rPr>
              <w:t>日历天</w:t>
            </w:r>
          </w:p>
        </w:tc>
      </w:tr>
    </w:tbl>
    <w:p w14:paraId="21926FF4">
      <w:pPr>
        <w:pBdr>
          <w:top w:val="none" w:color="000000" w:sz="0" w:space="0"/>
          <w:left w:val="none" w:color="000000" w:sz="0" w:space="0"/>
          <w:bottom w:val="none" w:color="000000" w:sz="0" w:space="0"/>
          <w:right w:val="none" w:color="000000" w:sz="0" w:space="0"/>
        </w:pBdr>
        <w:spacing w:before="240" w:after="240"/>
        <w:rPr>
          <w:rFonts w:ascii="Arial" w:hAnsi="Arial" w:eastAsia="Arial" w:cs="Arial"/>
          <w:color w:val="000000" w:themeColor="text1"/>
          <w:highlight w:val="none"/>
          <w14:textFill>
            <w14:solidFill>
              <w14:schemeClr w14:val="tx1"/>
            </w14:solidFill>
          </w14:textFill>
        </w:rPr>
      </w:pPr>
    </w:p>
    <w:p w14:paraId="1D13E750">
      <w:pPr>
        <w:pBdr>
          <w:top w:val="none" w:color="000000" w:sz="0" w:space="0"/>
          <w:left w:val="none" w:color="000000" w:sz="0" w:space="0"/>
          <w:bottom w:val="none" w:color="000000" w:sz="0" w:space="0"/>
          <w:right w:val="none" w:color="000000" w:sz="0" w:space="0"/>
        </w:pBdr>
        <w:spacing w:before="240" w:after="240"/>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日期：   年   月   日</w:t>
      </w:r>
    </w:p>
    <w:p w14:paraId="4F883716">
      <w:pPr>
        <w:tabs>
          <w:tab w:val="left" w:pos="360"/>
        </w:tabs>
        <w:ind w:firstLine="480"/>
        <w:rPr>
          <w:color w:val="000000" w:themeColor="text1"/>
          <w:sz w:val="24"/>
          <w:szCs w:val="24"/>
          <w:highlight w:val="none"/>
          <w:u w:val="single"/>
          <w14:textFill>
            <w14:solidFill>
              <w14:schemeClr w14:val="tx1"/>
            </w14:solidFill>
          </w14:textFill>
        </w:rPr>
      </w:pPr>
    </w:p>
    <w:p w14:paraId="3616DDC2">
      <w:pPr>
        <w:spacing w:line="460" w:lineRule="exact"/>
        <w:rPr>
          <w:bCs/>
          <w:color w:val="000000" w:themeColor="text1"/>
          <w:sz w:val="24"/>
          <w:szCs w:val="21"/>
          <w:highlight w:val="none"/>
          <w14:textFill>
            <w14:solidFill>
              <w14:schemeClr w14:val="tx1"/>
            </w14:solidFill>
          </w14:textFill>
        </w:rPr>
      </w:pPr>
    </w:p>
    <w:p w14:paraId="66C03F32">
      <w:pPr>
        <w:tabs>
          <w:tab w:val="left" w:pos="360"/>
        </w:tabs>
        <w:ind w:firstLine="480"/>
        <w:rPr>
          <w:color w:val="000000" w:themeColor="text1"/>
          <w:sz w:val="24"/>
          <w:szCs w:val="24"/>
          <w:highlight w:val="none"/>
          <w:u w:val="single"/>
          <w14:textFill>
            <w14:solidFill>
              <w14:schemeClr w14:val="tx1"/>
            </w14:solidFill>
          </w14:textFill>
        </w:rPr>
      </w:pPr>
    </w:p>
    <w:p w14:paraId="5BBFE188">
      <w:pPr>
        <w:tabs>
          <w:tab w:val="left" w:pos="360"/>
        </w:tabs>
        <w:ind w:firstLine="480"/>
        <w:rPr>
          <w:color w:val="000000" w:themeColor="text1"/>
          <w:sz w:val="24"/>
          <w:szCs w:val="24"/>
          <w:highlight w:val="none"/>
          <w14:textFill>
            <w14:solidFill>
              <w14:schemeClr w14:val="tx1"/>
            </w14:solidFill>
          </w14:textFill>
        </w:rPr>
      </w:pPr>
    </w:p>
    <w:p w14:paraId="73A34F03">
      <w:pPr>
        <w:ind w:firstLine="420"/>
        <w:rPr>
          <w:i/>
          <w:color w:val="000000" w:themeColor="text1"/>
          <w:sz w:val="24"/>
          <w:szCs w:val="24"/>
          <w:highlight w:val="none"/>
          <w:u w:val="single"/>
          <w14:textFill>
            <w14:solidFill>
              <w14:schemeClr w14:val="tx1"/>
            </w14:solidFill>
          </w14:textFill>
        </w:rPr>
      </w:pPr>
    </w:p>
    <w:p w14:paraId="72B372E2">
      <w:pPr>
        <w:rPr>
          <w:color w:val="000000" w:themeColor="text1"/>
          <w:szCs w:val="21"/>
          <w:highlight w:val="none"/>
          <w14:textFill>
            <w14:solidFill>
              <w14:schemeClr w14:val="tx1"/>
            </w14:solidFill>
          </w14:textFill>
        </w:rPr>
      </w:pPr>
    </w:p>
    <w:p w14:paraId="366D39D0">
      <w:pPr>
        <w:keepNext/>
        <w:keepLines/>
        <w:spacing w:before="145" w:after="145" w:line="360" w:lineRule="auto"/>
        <w:ind w:firstLine="499"/>
        <w:outlineLvl w:val="1"/>
        <w:rPr>
          <w:b/>
          <w:bCs/>
          <w:color w:val="000000" w:themeColor="text1"/>
          <w:sz w:val="32"/>
          <w:szCs w:val="32"/>
          <w:highlight w:val="none"/>
          <w14:textFill>
            <w14:solidFill>
              <w14:schemeClr w14:val="tx1"/>
            </w14:solidFill>
          </w14:textFill>
        </w:rPr>
      </w:pPr>
      <w:r>
        <w:rPr>
          <w:rFonts w:eastAsia="幼圆" w:cs="Arial"/>
          <w:b/>
          <w:color w:val="000000" w:themeColor="text1"/>
          <w:sz w:val="24"/>
          <w:szCs w:val="44"/>
          <w:highlight w:val="none"/>
          <w14:textFill>
            <w14:solidFill>
              <w14:schemeClr w14:val="tx1"/>
            </w14:solidFill>
          </w14:textFill>
        </w:rPr>
        <w:br w:type="page" w:clear="all"/>
      </w:r>
      <w:r>
        <w:rPr>
          <w:rFonts w:hint="eastAsia" w:eastAsia="黑体"/>
          <w:b/>
          <w:color w:val="000000" w:themeColor="text1"/>
          <w:sz w:val="32"/>
          <w:szCs w:val="32"/>
          <w:highlight w:val="none"/>
          <w14:textFill>
            <w14:solidFill>
              <w14:schemeClr w14:val="tx1"/>
            </w14:solidFill>
          </w14:textFill>
        </w:rPr>
        <w:t>七、明细报价表</w:t>
      </w:r>
    </w:p>
    <w:p w14:paraId="2B1FC234">
      <w:pPr>
        <w:pStyle w:val="45"/>
        <w:jc w:val="center"/>
        <w:rPr>
          <w:b/>
          <w:color w:val="000000" w:themeColor="text1"/>
          <w:sz w:val="30"/>
          <w:szCs w:val="30"/>
          <w:highlight w:val="none"/>
          <w14:textFill>
            <w14:solidFill>
              <w14:schemeClr w14:val="tx1"/>
            </w14:solidFill>
          </w14:textFill>
        </w:rPr>
      </w:pPr>
    </w:p>
    <w:p w14:paraId="5B5AE235">
      <w:pPr>
        <w:pStyle w:val="45"/>
        <w:jc w:val="center"/>
        <w:rPr>
          <w:color w:val="000000" w:themeColor="text1"/>
          <w:sz w:val="28"/>
          <w:szCs w:val="28"/>
          <w:highlight w:val="none"/>
          <w14:textFill>
            <w14:solidFill>
              <w14:schemeClr w14:val="tx1"/>
            </w14:solidFill>
          </w14:textFill>
        </w:rPr>
      </w:pPr>
    </w:p>
    <w:p w14:paraId="4F728946">
      <w:pPr>
        <w:pStyle w:val="45"/>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（按专用格式填写固化清单</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具体要求详见采购需求注意事项内容）</w:t>
      </w:r>
    </w:p>
    <w:p w14:paraId="407AE2D2">
      <w:pPr>
        <w:spacing w:line="460" w:lineRule="exact"/>
        <w:jc w:val="center"/>
        <w:rPr>
          <w:rFonts w:eastAsia="黑体"/>
          <w:b/>
          <w:color w:val="000000" w:themeColor="text1"/>
          <w:sz w:val="32"/>
          <w:szCs w:val="32"/>
          <w:highlight w:val="none"/>
          <w14:textFill>
            <w14:solidFill>
              <w14:schemeClr w14:val="tx1"/>
            </w14:solidFill>
          </w14:textFill>
        </w:rPr>
      </w:pPr>
    </w:p>
    <w:p w14:paraId="6682D834">
      <w:pPr>
        <w:spacing w:line="460" w:lineRule="exact"/>
        <w:jc w:val="center"/>
        <w:rPr>
          <w:rFonts w:eastAsia="黑体"/>
          <w:b/>
          <w:color w:val="000000" w:themeColor="text1"/>
          <w:sz w:val="32"/>
          <w:szCs w:val="32"/>
          <w:highlight w:val="none"/>
          <w14:textFill>
            <w14:solidFill>
              <w14:schemeClr w14:val="tx1"/>
            </w14:solidFill>
          </w14:textFill>
        </w:rPr>
      </w:pPr>
    </w:p>
    <w:p w14:paraId="0A6AD5B3">
      <w:pPr>
        <w:spacing w:line="460" w:lineRule="exact"/>
        <w:rPr>
          <w:rFonts w:eastAsia="黑体"/>
          <w:b/>
          <w:color w:val="000000" w:themeColor="text1"/>
          <w:sz w:val="32"/>
          <w:szCs w:val="32"/>
          <w:highlight w:val="none"/>
          <w14:textFill>
            <w14:solidFill>
              <w14:schemeClr w14:val="tx1"/>
            </w14:solidFill>
          </w14:textFill>
        </w:rPr>
      </w:pPr>
    </w:p>
    <w:p w14:paraId="390D06A0">
      <w:pPr>
        <w:spacing w:line="560" w:lineRule="exact"/>
        <w:ind w:firstLine="320"/>
        <w:jc w:val="left"/>
        <w:rPr>
          <w:rFonts w:eastAsia="黑体"/>
          <w:iCs/>
          <w:color w:val="000000" w:themeColor="text1"/>
          <w:sz w:val="32"/>
          <w:szCs w:val="32"/>
          <w:highlight w:val="none"/>
          <w14:textFill>
            <w14:solidFill>
              <w14:schemeClr w14:val="tx1"/>
            </w14:solidFill>
          </w14:textFill>
        </w:rPr>
      </w:pPr>
    </w:p>
    <w:p w14:paraId="318941C8">
      <w:pPr>
        <w:spacing w:line="560" w:lineRule="exact"/>
        <w:ind w:firstLine="320"/>
        <w:jc w:val="left"/>
        <w:rPr>
          <w:rFonts w:eastAsia="黑体"/>
          <w:iCs/>
          <w:color w:val="000000" w:themeColor="text1"/>
          <w:sz w:val="32"/>
          <w:szCs w:val="32"/>
          <w:highlight w:val="none"/>
          <w14:textFill>
            <w14:solidFill>
              <w14:schemeClr w14:val="tx1"/>
            </w14:solidFill>
          </w14:textFill>
        </w:rPr>
      </w:pPr>
    </w:p>
    <w:p w14:paraId="1BE05663">
      <w:pPr>
        <w:spacing w:line="560" w:lineRule="exact"/>
        <w:ind w:firstLine="320"/>
        <w:jc w:val="left"/>
        <w:rPr>
          <w:rFonts w:eastAsia="黑体"/>
          <w:iCs/>
          <w:color w:val="000000" w:themeColor="text1"/>
          <w:sz w:val="32"/>
          <w:szCs w:val="32"/>
          <w:highlight w:val="none"/>
          <w14:textFill>
            <w14:solidFill>
              <w14:schemeClr w14:val="tx1"/>
            </w14:solidFill>
          </w14:textFill>
        </w:rPr>
      </w:pPr>
    </w:p>
    <w:p w14:paraId="36462AE5">
      <w:pPr>
        <w:spacing w:line="560" w:lineRule="exact"/>
        <w:ind w:firstLine="320"/>
        <w:jc w:val="left"/>
        <w:rPr>
          <w:rFonts w:eastAsia="黑体"/>
          <w:iCs/>
          <w:color w:val="000000" w:themeColor="text1"/>
          <w:sz w:val="32"/>
          <w:szCs w:val="32"/>
          <w:highlight w:val="none"/>
          <w14:textFill>
            <w14:solidFill>
              <w14:schemeClr w14:val="tx1"/>
            </w14:solidFill>
          </w14:textFill>
        </w:rPr>
      </w:pPr>
    </w:p>
    <w:p w14:paraId="24D8A80C">
      <w:pPr>
        <w:spacing w:line="560" w:lineRule="exact"/>
        <w:ind w:firstLine="320"/>
        <w:jc w:val="left"/>
        <w:rPr>
          <w:rFonts w:eastAsia="黑体"/>
          <w:iCs/>
          <w:color w:val="000000" w:themeColor="text1"/>
          <w:sz w:val="32"/>
          <w:szCs w:val="32"/>
          <w:highlight w:val="none"/>
          <w14:textFill>
            <w14:solidFill>
              <w14:schemeClr w14:val="tx1"/>
            </w14:solidFill>
          </w14:textFill>
        </w:rPr>
      </w:pPr>
    </w:p>
    <w:p w14:paraId="4A598BCA">
      <w:pPr>
        <w:spacing w:line="560" w:lineRule="exact"/>
        <w:ind w:firstLine="320"/>
        <w:jc w:val="left"/>
        <w:rPr>
          <w:rFonts w:eastAsia="黑体"/>
          <w:iCs/>
          <w:color w:val="000000" w:themeColor="text1"/>
          <w:sz w:val="32"/>
          <w:szCs w:val="32"/>
          <w:highlight w:val="none"/>
          <w14:textFill>
            <w14:solidFill>
              <w14:schemeClr w14:val="tx1"/>
            </w14:solidFill>
          </w14:textFill>
        </w:rPr>
      </w:pPr>
    </w:p>
    <w:p w14:paraId="69F3B859">
      <w:pPr>
        <w:spacing w:line="560" w:lineRule="exact"/>
        <w:ind w:firstLine="320"/>
        <w:jc w:val="left"/>
        <w:rPr>
          <w:rFonts w:eastAsia="黑体"/>
          <w:iCs/>
          <w:color w:val="000000" w:themeColor="text1"/>
          <w:sz w:val="32"/>
          <w:szCs w:val="32"/>
          <w:highlight w:val="none"/>
          <w14:textFill>
            <w14:solidFill>
              <w14:schemeClr w14:val="tx1"/>
            </w14:solidFill>
          </w14:textFill>
        </w:rPr>
      </w:pPr>
    </w:p>
    <w:p w14:paraId="32FB9F58">
      <w:pPr>
        <w:spacing w:line="560" w:lineRule="exact"/>
        <w:ind w:firstLine="320"/>
        <w:jc w:val="left"/>
        <w:rPr>
          <w:rFonts w:eastAsia="黑体"/>
          <w:iCs/>
          <w:color w:val="000000" w:themeColor="text1"/>
          <w:sz w:val="32"/>
          <w:szCs w:val="32"/>
          <w:highlight w:val="none"/>
          <w14:textFill>
            <w14:solidFill>
              <w14:schemeClr w14:val="tx1"/>
            </w14:solidFill>
          </w14:textFill>
        </w:rPr>
      </w:pPr>
    </w:p>
    <w:p w14:paraId="6D531D5E">
      <w:pPr>
        <w:spacing w:line="560" w:lineRule="exact"/>
        <w:ind w:firstLine="320"/>
        <w:jc w:val="left"/>
        <w:rPr>
          <w:rFonts w:eastAsia="黑体"/>
          <w:iCs/>
          <w:color w:val="000000" w:themeColor="text1"/>
          <w:sz w:val="32"/>
          <w:szCs w:val="32"/>
          <w:highlight w:val="none"/>
          <w14:textFill>
            <w14:solidFill>
              <w14:schemeClr w14:val="tx1"/>
            </w14:solidFill>
          </w14:textFill>
        </w:rPr>
      </w:pPr>
    </w:p>
    <w:p w14:paraId="0DCB1663">
      <w:pPr>
        <w:spacing w:line="560" w:lineRule="exact"/>
        <w:ind w:firstLine="320"/>
        <w:jc w:val="left"/>
        <w:rPr>
          <w:rFonts w:eastAsia="黑体"/>
          <w:iCs/>
          <w:color w:val="000000" w:themeColor="text1"/>
          <w:sz w:val="32"/>
          <w:szCs w:val="32"/>
          <w:highlight w:val="none"/>
          <w14:textFill>
            <w14:solidFill>
              <w14:schemeClr w14:val="tx1"/>
            </w14:solidFill>
          </w14:textFill>
        </w:rPr>
      </w:pPr>
    </w:p>
    <w:p w14:paraId="302353AB">
      <w:pPr>
        <w:spacing w:line="560" w:lineRule="exact"/>
        <w:ind w:firstLine="320"/>
        <w:jc w:val="left"/>
        <w:rPr>
          <w:rFonts w:eastAsia="黑体"/>
          <w:iCs/>
          <w:color w:val="000000" w:themeColor="text1"/>
          <w:sz w:val="32"/>
          <w:szCs w:val="32"/>
          <w:highlight w:val="none"/>
          <w14:textFill>
            <w14:solidFill>
              <w14:schemeClr w14:val="tx1"/>
            </w14:solidFill>
          </w14:textFill>
        </w:rPr>
      </w:pPr>
    </w:p>
    <w:p w14:paraId="622533ED">
      <w:pPr>
        <w:spacing w:line="560" w:lineRule="exact"/>
        <w:ind w:firstLine="320"/>
        <w:jc w:val="left"/>
        <w:rPr>
          <w:rFonts w:eastAsia="黑体"/>
          <w:iCs/>
          <w:color w:val="000000" w:themeColor="text1"/>
          <w:sz w:val="32"/>
          <w:szCs w:val="32"/>
          <w:highlight w:val="none"/>
          <w14:textFill>
            <w14:solidFill>
              <w14:schemeClr w14:val="tx1"/>
            </w14:solidFill>
          </w14:textFill>
        </w:rPr>
      </w:pPr>
    </w:p>
    <w:p w14:paraId="5D271605">
      <w:pPr>
        <w:spacing w:line="560" w:lineRule="exact"/>
        <w:ind w:firstLine="320"/>
        <w:jc w:val="left"/>
        <w:rPr>
          <w:rFonts w:eastAsia="黑体"/>
          <w:iCs/>
          <w:color w:val="000000" w:themeColor="text1"/>
          <w:sz w:val="32"/>
          <w:szCs w:val="32"/>
          <w:highlight w:val="none"/>
          <w14:textFill>
            <w14:solidFill>
              <w14:schemeClr w14:val="tx1"/>
            </w14:solidFill>
          </w14:textFill>
        </w:rPr>
      </w:pPr>
    </w:p>
    <w:p w14:paraId="44D1827E">
      <w:pPr>
        <w:spacing w:line="560" w:lineRule="exact"/>
        <w:ind w:firstLine="320"/>
        <w:jc w:val="left"/>
        <w:rPr>
          <w:rFonts w:eastAsia="黑体"/>
          <w:iCs/>
          <w:color w:val="000000" w:themeColor="text1"/>
          <w:sz w:val="32"/>
          <w:szCs w:val="32"/>
          <w:highlight w:val="none"/>
          <w14:textFill>
            <w14:solidFill>
              <w14:schemeClr w14:val="tx1"/>
            </w14:solidFill>
          </w14:textFill>
        </w:rPr>
      </w:pPr>
    </w:p>
    <w:p w14:paraId="54A26531">
      <w:pPr>
        <w:spacing w:line="560" w:lineRule="exact"/>
        <w:ind w:firstLine="320"/>
        <w:jc w:val="left"/>
        <w:rPr>
          <w:rFonts w:eastAsia="黑体"/>
          <w:iCs/>
          <w:color w:val="000000" w:themeColor="text1"/>
          <w:sz w:val="32"/>
          <w:szCs w:val="32"/>
          <w:highlight w:val="none"/>
          <w14:textFill>
            <w14:solidFill>
              <w14:schemeClr w14:val="tx1"/>
            </w14:solidFill>
          </w14:textFill>
        </w:rPr>
      </w:pPr>
    </w:p>
    <w:p w14:paraId="3D67327D">
      <w:pPr>
        <w:spacing w:line="560" w:lineRule="exact"/>
        <w:ind w:firstLine="320"/>
        <w:jc w:val="left"/>
        <w:rPr>
          <w:rFonts w:eastAsia="黑体"/>
          <w:iCs/>
          <w:color w:val="000000" w:themeColor="text1"/>
          <w:sz w:val="32"/>
          <w:szCs w:val="32"/>
          <w:highlight w:val="none"/>
          <w14:textFill>
            <w14:solidFill>
              <w14:schemeClr w14:val="tx1"/>
            </w14:solidFill>
          </w14:textFill>
        </w:rPr>
      </w:pPr>
    </w:p>
    <w:p w14:paraId="294C12E9">
      <w:pPr>
        <w:rPr>
          <w:rFonts w:eastAsia="黑体"/>
          <w:b/>
          <w:color w:val="000000" w:themeColor="text1"/>
          <w:sz w:val="32"/>
          <w:szCs w:val="32"/>
          <w:highlight w:val="none"/>
          <w14:textFill>
            <w14:solidFill>
              <w14:schemeClr w14:val="tx1"/>
            </w14:solidFill>
          </w14:textFill>
        </w:rPr>
      </w:pPr>
    </w:p>
    <w:p w14:paraId="45D4E7C6">
      <w:pPr>
        <w:outlineLvl w:val="1"/>
        <w:rPr>
          <w:rFonts w:eastAsia="黑体"/>
          <w:b/>
          <w:color w:val="000000" w:themeColor="text1"/>
          <w:sz w:val="32"/>
          <w:szCs w:val="32"/>
          <w:highlight w:val="none"/>
          <w14:textFill>
            <w14:solidFill>
              <w14:schemeClr w14:val="tx1"/>
            </w14:solidFill>
          </w14:textFill>
        </w:rPr>
        <w:sectPr>
          <w:pgSz w:w="11906" w:h="16838"/>
          <w:pgMar w:top="1440" w:right="1080" w:bottom="1440" w:left="1080" w:header="851" w:footer="907" w:gutter="0"/>
          <w:pgNumType w:fmt="decimal"/>
          <w:cols w:space="1701" w:num="1"/>
          <w:docGrid w:linePitch="360" w:charSpace="0"/>
        </w:sectPr>
      </w:pPr>
    </w:p>
    <w:p w14:paraId="67DD266D">
      <w:pPr>
        <w:outlineLvl w:val="1"/>
        <w:rPr>
          <w:rFonts w:eastAsia="黑体"/>
          <w:b/>
          <w:color w:val="000000" w:themeColor="text1"/>
          <w:sz w:val="32"/>
          <w:szCs w:val="32"/>
          <w:highlight w:val="none"/>
          <w14:textFill>
            <w14:solidFill>
              <w14:schemeClr w14:val="tx1"/>
            </w14:solidFill>
          </w14:textFill>
        </w:rPr>
      </w:pPr>
      <w:r>
        <w:rPr>
          <w:rFonts w:hint="eastAsia" w:eastAsia="黑体"/>
          <w:b/>
          <w:color w:val="000000" w:themeColor="text1"/>
          <w:sz w:val="32"/>
          <w:szCs w:val="32"/>
          <w:highlight w:val="none"/>
          <w14:textFill>
            <w14:solidFill>
              <w14:schemeClr w14:val="tx1"/>
            </w14:solidFill>
          </w14:textFill>
        </w:rPr>
        <w:t>八、项目实施方案</w:t>
      </w:r>
    </w:p>
    <w:bookmarkEnd w:id="241"/>
    <w:p w14:paraId="6D9BEDC6">
      <w:pPr>
        <w:pStyle w:val="46"/>
        <w:spacing w:line="360" w:lineRule="auto"/>
        <w:rPr>
          <w:color w:val="000000" w:themeColor="text1"/>
          <w:sz w:val="24"/>
          <w:szCs w:val="21"/>
          <w:highlight w:val="none"/>
          <w14:textFill>
            <w14:solidFill>
              <w14:schemeClr w14:val="tx1"/>
            </w14:solidFill>
          </w14:textFill>
        </w:rPr>
      </w:pPr>
      <w:bookmarkStart w:id="243" w:name="_Hlt26782999"/>
      <w:bookmarkEnd w:id="243"/>
      <w:bookmarkStart w:id="244" w:name="_Hlt26609391"/>
      <w:bookmarkEnd w:id="244"/>
      <w:bookmarkStart w:id="245" w:name="_Hlt26955054"/>
      <w:bookmarkEnd w:id="245"/>
      <w:bookmarkStart w:id="246" w:name="_Hlt26671372"/>
      <w:bookmarkEnd w:id="246"/>
      <w:bookmarkStart w:id="247" w:name="_Hlt24879081"/>
      <w:bookmarkEnd w:id="247"/>
      <w:bookmarkStart w:id="248" w:name="_Hlt26580838"/>
      <w:bookmarkEnd w:id="248"/>
      <w:bookmarkStart w:id="249" w:name="_Hlt26671343"/>
      <w:bookmarkEnd w:id="249"/>
      <w:bookmarkStart w:id="250" w:name="_Hlt26955064"/>
      <w:bookmarkEnd w:id="250"/>
      <w:bookmarkStart w:id="251" w:name="_Hlt26955056"/>
      <w:bookmarkEnd w:id="251"/>
    </w:p>
    <w:p w14:paraId="3CFA2407">
      <w:pPr>
        <w:spacing w:line="480" w:lineRule="auto"/>
        <w:rPr>
          <w:color w:val="000000" w:themeColor="text1"/>
          <w:sz w:val="30"/>
          <w:szCs w:val="21"/>
          <w:highlight w:val="none"/>
          <w14:textFill>
            <w14:solidFill>
              <w14:schemeClr w14:val="tx1"/>
            </w14:solidFill>
          </w14:textFill>
        </w:rPr>
      </w:pPr>
    </w:p>
    <w:bookmarkEnd w:id="211"/>
    <w:bookmarkEnd w:id="212"/>
    <w:p w14:paraId="55990DFA">
      <w:pPr>
        <w:pStyle w:val="47"/>
        <w:rPr>
          <w:rFonts w:ascii="Times New Roman" w:hAnsi="Times New Roman"/>
          <w:color w:val="000000" w:themeColor="text1"/>
          <w:highlight w:val="none"/>
          <w14:textFill>
            <w14:solidFill>
              <w14:schemeClr w14:val="tx1"/>
            </w14:solidFill>
          </w14:textFill>
        </w:rPr>
      </w:pPr>
      <w:bookmarkStart w:id="252" w:name="_Hlt26609389"/>
      <w:bookmarkEnd w:id="252"/>
      <w:bookmarkStart w:id="253" w:name="_Hlt26671374"/>
      <w:bookmarkEnd w:id="253"/>
      <w:bookmarkStart w:id="254" w:name="_Hlt26955066"/>
      <w:bookmarkEnd w:id="254"/>
      <w:bookmarkStart w:id="255" w:name="_格式2__法定代表人授权书"/>
      <w:bookmarkEnd w:id="255"/>
    </w:p>
    <w:p w14:paraId="539D7026">
      <w:pPr>
        <w:pStyle w:val="47"/>
        <w:rPr>
          <w:rFonts w:ascii="Times New Roman" w:hAnsi="Times New Roman"/>
          <w:color w:val="000000" w:themeColor="text1"/>
          <w:highlight w:val="none"/>
          <w14:textFill>
            <w14:solidFill>
              <w14:schemeClr w14:val="tx1"/>
            </w14:solidFill>
          </w14:textFill>
        </w:rPr>
      </w:pPr>
    </w:p>
    <w:p w14:paraId="4D8C8AC1">
      <w:pPr>
        <w:pStyle w:val="47"/>
        <w:rPr>
          <w:rFonts w:ascii="Times New Roman" w:hAnsi="Times New Roman"/>
          <w:color w:val="000000" w:themeColor="text1"/>
          <w:highlight w:val="none"/>
          <w14:textFill>
            <w14:solidFill>
              <w14:schemeClr w14:val="tx1"/>
            </w14:solidFill>
          </w14:textFill>
        </w:rPr>
      </w:pPr>
    </w:p>
    <w:p w14:paraId="44E551C3">
      <w:pPr>
        <w:pStyle w:val="47"/>
        <w:rPr>
          <w:rFonts w:ascii="Times New Roman" w:hAnsi="Times New Roman"/>
          <w:color w:val="000000" w:themeColor="text1"/>
          <w:highlight w:val="none"/>
          <w14:textFill>
            <w14:solidFill>
              <w14:schemeClr w14:val="tx1"/>
            </w14:solidFill>
          </w14:textFill>
        </w:rPr>
      </w:pPr>
    </w:p>
    <w:p w14:paraId="0595187B">
      <w:pPr>
        <w:pStyle w:val="47"/>
        <w:rPr>
          <w:rFonts w:ascii="Times New Roman" w:hAnsi="Times New Roman"/>
          <w:color w:val="000000" w:themeColor="text1"/>
          <w:highlight w:val="none"/>
          <w14:textFill>
            <w14:solidFill>
              <w14:schemeClr w14:val="tx1"/>
            </w14:solidFill>
          </w14:textFill>
        </w:rPr>
      </w:pPr>
    </w:p>
    <w:p w14:paraId="7644100A">
      <w:pPr>
        <w:pStyle w:val="47"/>
        <w:rPr>
          <w:rFonts w:ascii="Times New Roman" w:hAnsi="Times New Roman"/>
          <w:color w:val="000000" w:themeColor="text1"/>
          <w:highlight w:val="none"/>
          <w14:textFill>
            <w14:solidFill>
              <w14:schemeClr w14:val="tx1"/>
            </w14:solidFill>
          </w14:textFill>
        </w:rPr>
      </w:pPr>
    </w:p>
    <w:p w14:paraId="6A6F04E1">
      <w:pPr>
        <w:pStyle w:val="47"/>
        <w:rPr>
          <w:rFonts w:ascii="Times New Roman" w:hAnsi="Times New Roman"/>
          <w:color w:val="000000" w:themeColor="text1"/>
          <w:highlight w:val="none"/>
          <w14:textFill>
            <w14:solidFill>
              <w14:schemeClr w14:val="tx1"/>
            </w14:solidFill>
          </w14:textFill>
        </w:rPr>
      </w:pPr>
    </w:p>
    <w:p w14:paraId="250A93CA">
      <w:pPr>
        <w:pStyle w:val="47"/>
        <w:rPr>
          <w:rFonts w:ascii="Times New Roman" w:hAnsi="Times New Roman"/>
          <w:color w:val="000000" w:themeColor="text1"/>
          <w:highlight w:val="none"/>
          <w14:textFill>
            <w14:solidFill>
              <w14:schemeClr w14:val="tx1"/>
            </w14:solidFill>
          </w14:textFill>
        </w:rPr>
      </w:pPr>
    </w:p>
    <w:p w14:paraId="198618E7">
      <w:pPr>
        <w:pStyle w:val="47"/>
        <w:rPr>
          <w:rFonts w:ascii="Times New Roman" w:hAnsi="Times New Roman"/>
          <w:color w:val="000000" w:themeColor="text1"/>
          <w:highlight w:val="none"/>
          <w14:textFill>
            <w14:solidFill>
              <w14:schemeClr w14:val="tx1"/>
            </w14:solidFill>
          </w14:textFill>
        </w:rPr>
      </w:pPr>
    </w:p>
    <w:p w14:paraId="12BC4102">
      <w:pPr>
        <w:pStyle w:val="47"/>
        <w:rPr>
          <w:rFonts w:ascii="Times New Roman" w:hAnsi="Times New Roman"/>
          <w:color w:val="000000" w:themeColor="text1"/>
          <w:highlight w:val="none"/>
          <w14:textFill>
            <w14:solidFill>
              <w14:schemeClr w14:val="tx1"/>
            </w14:solidFill>
          </w14:textFill>
        </w:rPr>
      </w:pPr>
    </w:p>
    <w:p w14:paraId="2C45FA12">
      <w:pPr>
        <w:pStyle w:val="47"/>
        <w:rPr>
          <w:rFonts w:ascii="Times New Roman" w:hAnsi="Times New Roman"/>
          <w:color w:val="000000" w:themeColor="text1"/>
          <w:highlight w:val="none"/>
          <w14:textFill>
            <w14:solidFill>
              <w14:schemeClr w14:val="tx1"/>
            </w14:solidFill>
          </w14:textFill>
        </w:rPr>
      </w:pPr>
    </w:p>
    <w:p w14:paraId="5C953C01">
      <w:pPr>
        <w:pStyle w:val="47"/>
        <w:rPr>
          <w:rFonts w:ascii="Times New Roman" w:hAnsi="Times New Roman"/>
          <w:color w:val="000000" w:themeColor="text1"/>
          <w:highlight w:val="none"/>
          <w14:textFill>
            <w14:solidFill>
              <w14:schemeClr w14:val="tx1"/>
            </w14:solidFill>
          </w14:textFill>
        </w:rPr>
      </w:pPr>
    </w:p>
    <w:p w14:paraId="3E2E372F">
      <w:pPr>
        <w:pStyle w:val="47"/>
        <w:rPr>
          <w:rFonts w:ascii="Times New Roman" w:hAnsi="Times New Roman"/>
          <w:color w:val="000000" w:themeColor="text1"/>
          <w:highlight w:val="none"/>
          <w14:textFill>
            <w14:solidFill>
              <w14:schemeClr w14:val="tx1"/>
            </w14:solidFill>
          </w14:textFill>
        </w:rPr>
      </w:pPr>
    </w:p>
    <w:p w14:paraId="55375BC0">
      <w:pPr>
        <w:pStyle w:val="47"/>
        <w:rPr>
          <w:rFonts w:ascii="Times New Roman" w:hAnsi="Times New Roman"/>
          <w:color w:val="000000" w:themeColor="text1"/>
          <w:highlight w:val="none"/>
          <w14:textFill>
            <w14:solidFill>
              <w14:schemeClr w14:val="tx1"/>
            </w14:solidFill>
          </w14:textFill>
        </w:rPr>
      </w:pPr>
    </w:p>
    <w:p w14:paraId="40BBD009">
      <w:pPr>
        <w:pStyle w:val="47"/>
        <w:rPr>
          <w:rFonts w:ascii="Times New Roman" w:hAnsi="Times New Roman"/>
          <w:color w:val="000000" w:themeColor="text1"/>
          <w:highlight w:val="none"/>
          <w14:textFill>
            <w14:solidFill>
              <w14:schemeClr w14:val="tx1"/>
            </w14:solidFill>
          </w14:textFill>
        </w:rPr>
      </w:pPr>
    </w:p>
    <w:p w14:paraId="225A2679">
      <w:pPr>
        <w:pStyle w:val="47"/>
        <w:rPr>
          <w:rFonts w:ascii="Times New Roman" w:hAnsi="Times New Roman"/>
          <w:color w:val="000000" w:themeColor="text1"/>
          <w:highlight w:val="none"/>
          <w14:textFill>
            <w14:solidFill>
              <w14:schemeClr w14:val="tx1"/>
            </w14:solidFill>
          </w14:textFill>
        </w:rPr>
      </w:pPr>
    </w:p>
    <w:p w14:paraId="11DA2250">
      <w:pPr>
        <w:pStyle w:val="47"/>
        <w:rPr>
          <w:rFonts w:ascii="Times New Roman" w:hAnsi="Times New Roman"/>
          <w:color w:val="000000" w:themeColor="text1"/>
          <w:highlight w:val="none"/>
          <w14:textFill>
            <w14:solidFill>
              <w14:schemeClr w14:val="tx1"/>
            </w14:solidFill>
          </w14:textFill>
        </w:rPr>
      </w:pPr>
    </w:p>
    <w:p w14:paraId="2E221949">
      <w:pPr>
        <w:pStyle w:val="47"/>
        <w:rPr>
          <w:rFonts w:ascii="Times New Roman" w:hAnsi="Times New Roman"/>
          <w:color w:val="000000" w:themeColor="text1"/>
          <w:highlight w:val="none"/>
          <w14:textFill>
            <w14:solidFill>
              <w14:schemeClr w14:val="tx1"/>
            </w14:solidFill>
          </w14:textFill>
        </w:rPr>
      </w:pPr>
    </w:p>
    <w:p w14:paraId="1CA4F46E">
      <w:pPr>
        <w:pStyle w:val="47"/>
        <w:rPr>
          <w:rFonts w:ascii="Times New Roman" w:hAnsi="Times New Roman"/>
          <w:color w:val="000000" w:themeColor="text1"/>
          <w:highlight w:val="none"/>
          <w14:textFill>
            <w14:solidFill>
              <w14:schemeClr w14:val="tx1"/>
            </w14:solidFill>
          </w14:textFill>
        </w:rPr>
      </w:pPr>
    </w:p>
    <w:p w14:paraId="19A588BB">
      <w:pPr>
        <w:pStyle w:val="47"/>
        <w:rPr>
          <w:rFonts w:ascii="Times New Roman" w:hAnsi="Times New Roman"/>
          <w:color w:val="000000" w:themeColor="text1"/>
          <w:highlight w:val="none"/>
          <w14:textFill>
            <w14:solidFill>
              <w14:schemeClr w14:val="tx1"/>
            </w14:solidFill>
          </w14:textFill>
        </w:rPr>
      </w:pPr>
    </w:p>
    <w:p w14:paraId="6A9010C6">
      <w:pPr>
        <w:pStyle w:val="47"/>
        <w:rPr>
          <w:rFonts w:ascii="Times New Roman" w:hAnsi="Times New Roman"/>
          <w:color w:val="000000" w:themeColor="text1"/>
          <w:highlight w:val="none"/>
          <w14:textFill>
            <w14:solidFill>
              <w14:schemeClr w14:val="tx1"/>
            </w14:solidFill>
          </w14:textFill>
        </w:rPr>
      </w:pPr>
    </w:p>
    <w:p w14:paraId="52C1A62C">
      <w:pPr>
        <w:pStyle w:val="47"/>
        <w:outlineLvl w:val="1"/>
        <w:rPr>
          <w:rFonts w:ascii="Times New Roman" w:hAnsi="Times New Roman"/>
          <w:color w:val="000000" w:themeColor="text1"/>
          <w:highlight w:val="none"/>
          <w14:textFill>
            <w14:solidFill>
              <w14:schemeClr w14:val="tx1"/>
            </w14:solidFill>
          </w14:textFill>
        </w:rPr>
        <w:sectPr>
          <w:pgSz w:w="11906" w:h="16838"/>
          <w:pgMar w:top="1440" w:right="1080" w:bottom="1440" w:left="1080" w:header="851" w:footer="907" w:gutter="0"/>
          <w:pgNumType w:fmt="decimal"/>
          <w:cols w:space="1701" w:num="1"/>
          <w:docGrid w:linePitch="360" w:charSpace="0"/>
        </w:sectPr>
      </w:pPr>
    </w:p>
    <w:p w14:paraId="1FFF1E09">
      <w:pPr>
        <w:pStyle w:val="47"/>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九、</w:t>
      </w:r>
      <w:r>
        <w:rPr>
          <w:rFonts w:ascii="Times New Roman" w:hAnsi="Times New Roman"/>
          <w:color w:val="000000" w:themeColor="text1"/>
          <w:highlight w:val="none"/>
          <w14:textFill>
            <w14:solidFill>
              <w14:schemeClr w14:val="tx1"/>
            </w14:solidFill>
          </w14:textFill>
        </w:rPr>
        <w:t>项目组人员</w:t>
      </w:r>
    </w:p>
    <w:p w14:paraId="6E1D12EE">
      <w:pPr>
        <w:pStyle w:val="38"/>
        <w:spacing w:line="600" w:lineRule="exact"/>
        <w:jc w:val="center"/>
        <w:outlineLvl w:val="2"/>
        <w:rPr>
          <w:rFonts w:ascii="Times New Roman" w:hAnsi="Times New Roman"/>
          <w:b/>
          <w:bCs/>
          <w:color w:val="000000" w:themeColor="text1"/>
          <w:sz w:val="32"/>
          <w:szCs w:val="32"/>
          <w:highlight w:val="none"/>
          <w14:textFill>
            <w14:solidFill>
              <w14:schemeClr w14:val="tx1"/>
            </w14:solidFill>
          </w14:textFill>
        </w:rPr>
      </w:pPr>
      <w:r>
        <w:rPr>
          <w:rFonts w:hint="eastAsia" w:ascii="Times New Roman" w:hAnsi="Times New Roman"/>
          <w:b/>
          <w:bCs/>
          <w:color w:val="000000" w:themeColor="text1"/>
          <w:sz w:val="32"/>
          <w:szCs w:val="32"/>
          <w:highlight w:val="none"/>
          <w14:textFill>
            <w14:solidFill>
              <w14:schemeClr w14:val="tx1"/>
            </w14:solidFill>
          </w14:textFill>
        </w:rPr>
        <w:t>项目组成员</w:t>
      </w:r>
    </w:p>
    <w:tbl>
      <w:tblPr>
        <w:tblStyle w:val="13"/>
        <w:tblpPr w:leftFromText="180" w:rightFromText="180" w:vertAnchor="text" w:horzAnchor="margin" w:tblpXSpec="center" w:tblpY="7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843"/>
        <w:gridCol w:w="992"/>
        <w:gridCol w:w="1984"/>
        <w:gridCol w:w="1702"/>
        <w:gridCol w:w="962"/>
      </w:tblGrid>
      <w:tr w14:paraId="628ED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959" w:type="dxa"/>
            <w:noWrap/>
            <w:vAlign w:val="center"/>
          </w:tcPr>
          <w:p w14:paraId="493E2BF2">
            <w:pPr>
              <w:pStyle w:val="48"/>
              <w:widowControl/>
              <w:spacing w:beforeAutospacing="1" w:line="560" w:lineRule="exact"/>
              <w:jc w:val="center"/>
              <w:rPr>
                <w:rFonts w:eastAsia="仿宋_GB2312" w:cs="仿宋_GB2312"/>
                <w:color w:val="000000" w:themeColor="text1"/>
                <w:sz w:val="28"/>
                <w:szCs w:val="28"/>
                <w:highlight w:val="none"/>
                <w14:textFill>
                  <w14:solidFill>
                    <w14:schemeClr w14:val="tx1"/>
                  </w14:solidFill>
                </w14:textFill>
              </w:rPr>
            </w:pPr>
            <w:r>
              <w:rPr>
                <w:rFonts w:eastAsia="仿宋_GB2312" w:cs="仿宋_GB2312"/>
                <w:color w:val="000000" w:themeColor="text1"/>
                <w:sz w:val="28"/>
                <w:szCs w:val="28"/>
                <w:highlight w:val="none"/>
                <w14:textFill>
                  <w14:solidFill>
                    <w14:schemeClr w14:val="tx1"/>
                  </w14:solidFill>
                </w14:textFill>
              </w:rPr>
              <w:t>姓名</w:t>
            </w:r>
          </w:p>
        </w:tc>
        <w:tc>
          <w:tcPr>
            <w:tcW w:w="1843" w:type="dxa"/>
            <w:noWrap/>
            <w:vAlign w:val="center"/>
          </w:tcPr>
          <w:p w14:paraId="04804AC2">
            <w:pPr>
              <w:pStyle w:val="48"/>
              <w:widowControl/>
              <w:spacing w:beforeAutospacing="1" w:line="560" w:lineRule="exact"/>
              <w:jc w:val="center"/>
              <w:rPr>
                <w:rFonts w:eastAsia="仿宋_GB2312" w:cs="仿宋_GB2312"/>
                <w:color w:val="000000" w:themeColor="text1"/>
                <w:sz w:val="28"/>
                <w:szCs w:val="28"/>
                <w:highlight w:val="none"/>
                <w14:textFill>
                  <w14:solidFill>
                    <w14:schemeClr w14:val="tx1"/>
                  </w14:solidFill>
                </w14:textFill>
              </w:rPr>
            </w:pPr>
            <w:r>
              <w:rPr>
                <w:rFonts w:eastAsia="仿宋_GB2312" w:cs="仿宋_GB2312"/>
                <w:color w:val="000000" w:themeColor="text1"/>
                <w:sz w:val="28"/>
                <w:szCs w:val="28"/>
                <w:highlight w:val="none"/>
                <w14:textFill>
                  <w14:solidFill>
                    <w14:schemeClr w14:val="tx1"/>
                  </w14:solidFill>
                </w14:textFill>
              </w:rPr>
              <w:t>职务</w:t>
            </w:r>
          </w:p>
        </w:tc>
        <w:tc>
          <w:tcPr>
            <w:tcW w:w="992" w:type="dxa"/>
            <w:noWrap/>
            <w:vAlign w:val="center"/>
          </w:tcPr>
          <w:p w14:paraId="4A8F483F">
            <w:pPr>
              <w:pStyle w:val="48"/>
              <w:widowControl/>
              <w:spacing w:beforeAutospacing="1" w:line="560" w:lineRule="exact"/>
              <w:jc w:val="center"/>
              <w:rPr>
                <w:rFonts w:eastAsia="仿宋_GB2312" w:cs="仿宋_GB2312"/>
                <w:color w:val="000000" w:themeColor="text1"/>
                <w:sz w:val="28"/>
                <w:szCs w:val="28"/>
                <w:highlight w:val="none"/>
                <w14:textFill>
                  <w14:solidFill>
                    <w14:schemeClr w14:val="tx1"/>
                  </w14:solidFill>
                </w14:textFill>
              </w:rPr>
            </w:pPr>
            <w:r>
              <w:rPr>
                <w:rFonts w:eastAsia="仿宋_GB2312" w:cs="仿宋_GB2312"/>
                <w:color w:val="000000" w:themeColor="text1"/>
                <w:sz w:val="28"/>
                <w:szCs w:val="28"/>
                <w:highlight w:val="none"/>
                <w14:textFill>
                  <w14:solidFill>
                    <w14:schemeClr w14:val="tx1"/>
                  </w14:solidFill>
                </w14:textFill>
              </w:rPr>
              <w:t>学历</w:t>
            </w:r>
          </w:p>
        </w:tc>
        <w:tc>
          <w:tcPr>
            <w:tcW w:w="1984" w:type="dxa"/>
            <w:noWrap/>
            <w:vAlign w:val="center"/>
          </w:tcPr>
          <w:p w14:paraId="6E73B39C">
            <w:pPr>
              <w:pStyle w:val="48"/>
              <w:widowControl/>
              <w:spacing w:beforeAutospacing="1" w:line="560" w:lineRule="exact"/>
              <w:ind w:firstLine="280"/>
              <w:rPr>
                <w:rFonts w:eastAsia="仿宋_GB2312" w:cs="仿宋_GB2312"/>
                <w:color w:val="000000" w:themeColor="text1"/>
                <w:sz w:val="28"/>
                <w:szCs w:val="28"/>
                <w:highlight w:val="none"/>
                <w14:textFill>
                  <w14:solidFill>
                    <w14:schemeClr w14:val="tx1"/>
                  </w14:solidFill>
                </w14:textFill>
              </w:rPr>
            </w:pPr>
            <w:r>
              <w:rPr>
                <w:rFonts w:eastAsia="仿宋_GB2312" w:cs="仿宋_GB2312"/>
                <w:color w:val="000000" w:themeColor="text1"/>
                <w:sz w:val="28"/>
                <w:szCs w:val="28"/>
                <w:highlight w:val="none"/>
                <w14:textFill>
                  <w14:solidFill>
                    <w14:schemeClr w14:val="tx1"/>
                  </w14:solidFill>
                </w14:textFill>
              </w:rPr>
              <w:t>身份证号</w:t>
            </w:r>
          </w:p>
        </w:tc>
        <w:tc>
          <w:tcPr>
            <w:tcW w:w="1702" w:type="dxa"/>
            <w:noWrap/>
            <w:vAlign w:val="center"/>
          </w:tcPr>
          <w:p w14:paraId="3EF4B077">
            <w:pPr>
              <w:pStyle w:val="48"/>
              <w:widowControl/>
              <w:spacing w:beforeAutospacing="1" w:line="560" w:lineRule="exact"/>
              <w:jc w:val="center"/>
              <w:rPr>
                <w:rFonts w:eastAsia="仿宋_GB2312" w:cs="仿宋_GB2312"/>
                <w:color w:val="000000" w:themeColor="text1"/>
                <w:sz w:val="28"/>
                <w:szCs w:val="28"/>
                <w:highlight w:val="none"/>
                <w14:textFill>
                  <w14:solidFill>
                    <w14:schemeClr w14:val="tx1"/>
                  </w14:solidFill>
                </w14:textFill>
              </w:rPr>
            </w:pPr>
            <w:r>
              <w:rPr>
                <w:rFonts w:eastAsia="仿宋_GB2312" w:cs="仿宋_GB2312"/>
                <w:color w:val="000000" w:themeColor="text1"/>
                <w:sz w:val="28"/>
                <w:szCs w:val="28"/>
                <w:highlight w:val="none"/>
                <w14:textFill>
                  <w14:solidFill>
                    <w14:schemeClr w14:val="tx1"/>
                  </w14:solidFill>
                </w14:textFill>
              </w:rPr>
              <w:t>相关证书</w:t>
            </w:r>
          </w:p>
        </w:tc>
        <w:tc>
          <w:tcPr>
            <w:tcW w:w="962" w:type="dxa"/>
            <w:noWrap/>
            <w:vAlign w:val="center"/>
          </w:tcPr>
          <w:p w14:paraId="612841F1">
            <w:pPr>
              <w:pStyle w:val="48"/>
              <w:widowControl/>
              <w:spacing w:beforeAutospacing="1" w:line="560" w:lineRule="exact"/>
              <w:rPr>
                <w:rFonts w:eastAsia="仿宋_GB2312" w:cs="仿宋_GB2312"/>
                <w:color w:val="000000" w:themeColor="text1"/>
                <w:sz w:val="28"/>
                <w:szCs w:val="28"/>
                <w:highlight w:val="none"/>
                <w14:textFill>
                  <w14:solidFill>
                    <w14:schemeClr w14:val="tx1"/>
                  </w14:solidFill>
                </w14:textFill>
              </w:rPr>
            </w:pPr>
            <w:r>
              <w:rPr>
                <w:rFonts w:eastAsia="仿宋_GB2312" w:cs="仿宋_GB2312"/>
                <w:color w:val="000000" w:themeColor="text1"/>
                <w:sz w:val="28"/>
                <w:szCs w:val="28"/>
                <w:highlight w:val="none"/>
                <w14:textFill>
                  <w14:solidFill>
                    <w14:schemeClr w14:val="tx1"/>
                  </w14:solidFill>
                </w14:textFill>
              </w:rPr>
              <w:t>备注</w:t>
            </w:r>
          </w:p>
        </w:tc>
      </w:tr>
      <w:tr w14:paraId="356D5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ign w:val="center"/>
          </w:tcPr>
          <w:p w14:paraId="6F0B9217">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843" w:type="dxa"/>
            <w:noWrap/>
            <w:vAlign w:val="center"/>
          </w:tcPr>
          <w:p w14:paraId="6456420A">
            <w:pPr>
              <w:pStyle w:val="38"/>
              <w:jc w:val="center"/>
              <w:rPr>
                <w:rFonts w:ascii="Times New Roman" w:hAnsi="Times New Roman"/>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8"/>
                <w:szCs w:val="28"/>
                <w:highlight w:val="none"/>
                <w14:textFill>
                  <w14:solidFill>
                    <w14:schemeClr w14:val="tx1"/>
                  </w14:solidFill>
                </w14:textFill>
              </w:rPr>
              <w:t>项目经理</w:t>
            </w:r>
          </w:p>
        </w:tc>
        <w:tc>
          <w:tcPr>
            <w:tcW w:w="992" w:type="dxa"/>
            <w:noWrap/>
            <w:vAlign w:val="center"/>
          </w:tcPr>
          <w:p w14:paraId="19CB392B">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984" w:type="dxa"/>
            <w:noWrap/>
            <w:vAlign w:val="center"/>
          </w:tcPr>
          <w:p w14:paraId="24B3CC3E">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702" w:type="dxa"/>
            <w:noWrap/>
            <w:vAlign w:val="center"/>
          </w:tcPr>
          <w:p w14:paraId="4DB7F3E2">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962" w:type="dxa"/>
            <w:noWrap/>
            <w:vAlign w:val="center"/>
          </w:tcPr>
          <w:p w14:paraId="55AF06A1">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r>
      <w:tr w14:paraId="647B6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ign w:val="center"/>
          </w:tcPr>
          <w:p w14:paraId="4E1FE667">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843" w:type="dxa"/>
            <w:noWrap/>
            <w:vAlign w:val="center"/>
          </w:tcPr>
          <w:p w14:paraId="6E076A91">
            <w:pPr>
              <w:pStyle w:val="38"/>
              <w:jc w:val="center"/>
              <w:rPr>
                <w:rFonts w:ascii="Times New Roman" w:hAnsi="Times New Roman" w:eastAsia="仿宋_GB2312" w:cs="仿宋_GB2312"/>
                <w:color w:val="000000" w:themeColor="text1"/>
                <w:sz w:val="28"/>
                <w:szCs w:val="28"/>
                <w:highlight w:val="none"/>
                <w14:textFill>
                  <w14:solidFill>
                    <w14:schemeClr w14:val="tx1"/>
                  </w14:solidFill>
                </w14:textFill>
              </w:rPr>
            </w:pPr>
            <w:r>
              <w:rPr>
                <w:rFonts w:hint="eastAsia" w:ascii="Times New Roman" w:hAnsi="Times New Roman" w:eastAsia="仿宋_GB2312" w:cs="仿宋_GB2312"/>
                <w:color w:val="000000" w:themeColor="text1"/>
                <w:sz w:val="28"/>
                <w:szCs w:val="28"/>
                <w:highlight w:val="none"/>
                <w14:textFill>
                  <w14:solidFill>
                    <w14:schemeClr w14:val="tx1"/>
                  </w14:solidFill>
                </w14:textFill>
              </w:rPr>
              <w:t>……</w:t>
            </w:r>
          </w:p>
        </w:tc>
        <w:tc>
          <w:tcPr>
            <w:tcW w:w="992" w:type="dxa"/>
            <w:noWrap/>
            <w:vAlign w:val="center"/>
          </w:tcPr>
          <w:p w14:paraId="2B4EE26F">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984" w:type="dxa"/>
            <w:noWrap/>
            <w:vAlign w:val="center"/>
          </w:tcPr>
          <w:p w14:paraId="0936F49A">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702" w:type="dxa"/>
            <w:noWrap/>
            <w:vAlign w:val="center"/>
          </w:tcPr>
          <w:p w14:paraId="20911D28">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962" w:type="dxa"/>
            <w:noWrap/>
            <w:vAlign w:val="center"/>
          </w:tcPr>
          <w:p w14:paraId="2D66E0AC">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r>
      <w:tr w14:paraId="43307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ign w:val="center"/>
          </w:tcPr>
          <w:p w14:paraId="0F5E5CEF">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843" w:type="dxa"/>
            <w:noWrap/>
            <w:vAlign w:val="center"/>
          </w:tcPr>
          <w:p w14:paraId="6BB1E587">
            <w:pPr>
              <w:pStyle w:val="38"/>
              <w:jc w:val="center"/>
              <w:rPr>
                <w:rFonts w:ascii="Times New Roman" w:hAnsi="Times New Roman" w:eastAsia="仿宋_GB2312" w:cs="仿宋_GB2312"/>
                <w:color w:val="000000" w:themeColor="text1"/>
                <w:sz w:val="28"/>
                <w:szCs w:val="28"/>
                <w:highlight w:val="none"/>
                <w14:textFill>
                  <w14:solidFill>
                    <w14:schemeClr w14:val="tx1"/>
                  </w14:solidFill>
                </w14:textFill>
              </w:rPr>
            </w:pPr>
            <w:r>
              <w:rPr>
                <w:rFonts w:hint="eastAsia" w:ascii="Times New Roman" w:hAnsi="Times New Roman" w:eastAsia="仿宋_GB2312" w:cs="仿宋_GB2312"/>
                <w:color w:val="000000" w:themeColor="text1"/>
                <w:sz w:val="28"/>
                <w:szCs w:val="28"/>
                <w:highlight w:val="none"/>
                <w14:textFill>
                  <w14:solidFill>
                    <w14:schemeClr w14:val="tx1"/>
                  </w14:solidFill>
                </w14:textFill>
              </w:rPr>
              <w:t>……</w:t>
            </w:r>
          </w:p>
        </w:tc>
        <w:tc>
          <w:tcPr>
            <w:tcW w:w="992" w:type="dxa"/>
            <w:noWrap/>
            <w:vAlign w:val="center"/>
          </w:tcPr>
          <w:p w14:paraId="1D749E72">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984" w:type="dxa"/>
            <w:noWrap/>
            <w:vAlign w:val="center"/>
          </w:tcPr>
          <w:p w14:paraId="60797848">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702" w:type="dxa"/>
            <w:noWrap/>
            <w:vAlign w:val="center"/>
          </w:tcPr>
          <w:p w14:paraId="266AB4C7">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962" w:type="dxa"/>
            <w:noWrap/>
            <w:vAlign w:val="center"/>
          </w:tcPr>
          <w:p w14:paraId="3F98BDAC">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r>
      <w:tr w14:paraId="2C183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ign w:val="center"/>
          </w:tcPr>
          <w:p w14:paraId="3FEAC03E">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843" w:type="dxa"/>
            <w:noWrap/>
            <w:vAlign w:val="center"/>
          </w:tcPr>
          <w:p w14:paraId="1E9F911E">
            <w:pPr>
              <w:pStyle w:val="38"/>
              <w:rPr>
                <w:rFonts w:ascii="Times New Roman" w:hAnsi="Times New Roman" w:eastAsia="仿宋_GB2312" w:cs="仿宋_GB2312"/>
                <w:color w:val="000000" w:themeColor="text1"/>
                <w:sz w:val="28"/>
                <w:szCs w:val="28"/>
                <w:highlight w:val="none"/>
                <w14:textFill>
                  <w14:solidFill>
                    <w14:schemeClr w14:val="tx1"/>
                  </w14:solidFill>
                </w14:textFill>
              </w:rPr>
            </w:pPr>
          </w:p>
        </w:tc>
        <w:tc>
          <w:tcPr>
            <w:tcW w:w="992" w:type="dxa"/>
            <w:noWrap/>
            <w:vAlign w:val="center"/>
          </w:tcPr>
          <w:p w14:paraId="71332C26">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984" w:type="dxa"/>
            <w:noWrap/>
            <w:vAlign w:val="center"/>
          </w:tcPr>
          <w:p w14:paraId="5E3255D1">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702" w:type="dxa"/>
            <w:noWrap/>
            <w:vAlign w:val="center"/>
          </w:tcPr>
          <w:p w14:paraId="40CEE80F">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962" w:type="dxa"/>
            <w:noWrap/>
            <w:vAlign w:val="center"/>
          </w:tcPr>
          <w:p w14:paraId="3FAEC15A">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r>
      <w:tr w14:paraId="43709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ign w:val="center"/>
          </w:tcPr>
          <w:p w14:paraId="7974D8A3">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843" w:type="dxa"/>
            <w:noWrap/>
            <w:vAlign w:val="center"/>
          </w:tcPr>
          <w:p w14:paraId="527ADF45">
            <w:pPr>
              <w:pStyle w:val="38"/>
              <w:rPr>
                <w:rFonts w:ascii="Times New Roman" w:hAnsi="Times New Roman" w:eastAsia="仿宋_GB2312" w:cs="仿宋_GB2312"/>
                <w:color w:val="000000" w:themeColor="text1"/>
                <w:sz w:val="28"/>
                <w:szCs w:val="28"/>
                <w:highlight w:val="none"/>
                <w14:textFill>
                  <w14:solidFill>
                    <w14:schemeClr w14:val="tx1"/>
                  </w14:solidFill>
                </w14:textFill>
              </w:rPr>
            </w:pPr>
          </w:p>
        </w:tc>
        <w:tc>
          <w:tcPr>
            <w:tcW w:w="992" w:type="dxa"/>
            <w:noWrap/>
            <w:vAlign w:val="center"/>
          </w:tcPr>
          <w:p w14:paraId="1C664BE7">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984" w:type="dxa"/>
            <w:noWrap/>
            <w:vAlign w:val="center"/>
          </w:tcPr>
          <w:p w14:paraId="718BA68A">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702" w:type="dxa"/>
            <w:noWrap/>
            <w:vAlign w:val="center"/>
          </w:tcPr>
          <w:p w14:paraId="3851C451">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962" w:type="dxa"/>
            <w:noWrap/>
            <w:vAlign w:val="center"/>
          </w:tcPr>
          <w:p w14:paraId="18A20A77">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r>
      <w:tr w14:paraId="191A5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ign w:val="center"/>
          </w:tcPr>
          <w:p w14:paraId="6EBF52A9">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843" w:type="dxa"/>
            <w:noWrap/>
            <w:vAlign w:val="center"/>
          </w:tcPr>
          <w:p w14:paraId="2B9D5FBD">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992" w:type="dxa"/>
            <w:noWrap/>
            <w:vAlign w:val="center"/>
          </w:tcPr>
          <w:p w14:paraId="3301BE4A">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984" w:type="dxa"/>
            <w:noWrap/>
            <w:vAlign w:val="center"/>
          </w:tcPr>
          <w:p w14:paraId="7BB7657A">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702" w:type="dxa"/>
            <w:noWrap/>
            <w:vAlign w:val="center"/>
          </w:tcPr>
          <w:p w14:paraId="65832A7C">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962" w:type="dxa"/>
            <w:noWrap/>
            <w:vAlign w:val="center"/>
          </w:tcPr>
          <w:p w14:paraId="03AE77BB">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r>
      <w:tr w14:paraId="17199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ign w:val="center"/>
          </w:tcPr>
          <w:p w14:paraId="62E7B4CE">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843" w:type="dxa"/>
            <w:noWrap/>
            <w:vAlign w:val="center"/>
          </w:tcPr>
          <w:p w14:paraId="2B582419">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992" w:type="dxa"/>
            <w:noWrap/>
            <w:vAlign w:val="center"/>
          </w:tcPr>
          <w:p w14:paraId="17EDF65F">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984" w:type="dxa"/>
            <w:noWrap/>
            <w:vAlign w:val="center"/>
          </w:tcPr>
          <w:p w14:paraId="30EFA782">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702" w:type="dxa"/>
            <w:noWrap/>
            <w:vAlign w:val="center"/>
          </w:tcPr>
          <w:p w14:paraId="11A52A3A">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962" w:type="dxa"/>
            <w:noWrap/>
            <w:vAlign w:val="center"/>
          </w:tcPr>
          <w:p w14:paraId="57D95C17">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r>
      <w:tr w14:paraId="54F91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ign w:val="center"/>
          </w:tcPr>
          <w:p w14:paraId="79A23B75">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843" w:type="dxa"/>
            <w:noWrap/>
            <w:vAlign w:val="center"/>
          </w:tcPr>
          <w:p w14:paraId="053D2A5E">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992" w:type="dxa"/>
            <w:noWrap/>
            <w:vAlign w:val="center"/>
          </w:tcPr>
          <w:p w14:paraId="6EE72A0A">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984" w:type="dxa"/>
            <w:noWrap/>
            <w:vAlign w:val="center"/>
          </w:tcPr>
          <w:p w14:paraId="6F57EEC7">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702" w:type="dxa"/>
            <w:noWrap/>
            <w:vAlign w:val="center"/>
          </w:tcPr>
          <w:p w14:paraId="1F728176">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962" w:type="dxa"/>
            <w:noWrap/>
            <w:vAlign w:val="center"/>
          </w:tcPr>
          <w:p w14:paraId="5DF2C25F">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r>
      <w:tr w14:paraId="4475F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ign w:val="center"/>
          </w:tcPr>
          <w:p w14:paraId="50944823">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843" w:type="dxa"/>
            <w:noWrap/>
            <w:vAlign w:val="center"/>
          </w:tcPr>
          <w:p w14:paraId="6DEF1EDB">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992" w:type="dxa"/>
            <w:noWrap/>
            <w:vAlign w:val="center"/>
          </w:tcPr>
          <w:p w14:paraId="032B9F98">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984" w:type="dxa"/>
            <w:noWrap/>
            <w:vAlign w:val="center"/>
          </w:tcPr>
          <w:p w14:paraId="4841B245">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702" w:type="dxa"/>
            <w:noWrap/>
            <w:vAlign w:val="center"/>
          </w:tcPr>
          <w:p w14:paraId="1343FE79">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962" w:type="dxa"/>
            <w:noWrap/>
            <w:vAlign w:val="center"/>
          </w:tcPr>
          <w:p w14:paraId="5655D5B4">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r>
      <w:tr w14:paraId="10ABB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ign w:val="center"/>
          </w:tcPr>
          <w:p w14:paraId="43C2CFCB">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843" w:type="dxa"/>
            <w:noWrap/>
            <w:vAlign w:val="center"/>
          </w:tcPr>
          <w:p w14:paraId="4430D240">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992" w:type="dxa"/>
            <w:noWrap/>
            <w:vAlign w:val="center"/>
          </w:tcPr>
          <w:p w14:paraId="71BA7F94">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984" w:type="dxa"/>
            <w:noWrap/>
            <w:vAlign w:val="center"/>
          </w:tcPr>
          <w:p w14:paraId="59E11C81">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1702" w:type="dxa"/>
            <w:noWrap/>
            <w:vAlign w:val="center"/>
          </w:tcPr>
          <w:p w14:paraId="0814A4F6">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c>
          <w:tcPr>
            <w:tcW w:w="962" w:type="dxa"/>
            <w:noWrap/>
            <w:vAlign w:val="center"/>
          </w:tcPr>
          <w:p w14:paraId="74B457A1">
            <w:pPr>
              <w:pStyle w:val="48"/>
              <w:widowControl/>
              <w:spacing w:line="560" w:lineRule="exact"/>
              <w:ind w:firstLine="560"/>
              <w:jc w:val="center"/>
              <w:rPr>
                <w:rFonts w:eastAsia="仿宋_GB2312" w:cs="仿宋_GB2312"/>
                <w:color w:val="000000" w:themeColor="text1"/>
                <w:sz w:val="28"/>
                <w:szCs w:val="28"/>
                <w:highlight w:val="none"/>
                <w14:textFill>
                  <w14:solidFill>
                    <w14:schemeClr w14:val="tx1"/>
                  </w14:solidFill>
                </w14:textFill>
              </w:rPr>
            </w:pPr>
          </w:p>
        </w:tc>
      </w:tr>
    </w:tbl>
    <w:p w14:paraId="1AB35894">
      <w:pPr>
        <w:pStyle w:val="38"/>
        <w:spacing w:line="460" w:lineRule="exact"/>
        <w:ind w:firstLine="398"/>
        <w:rPr>
          <w:rFonts w:ascii="Times New Roman" w:hAnsi="Times New Roman" w:eastAsia="仿宋_GB2312" w:cs="仿宋_GB2312"/>
          <w:color w:val="000000" w:themeColor="text1"/>
          <w:highlight w:val="none"/>
          <w14:textFill>
            <w14:solidFill>
              <w14:schemeClr w14:val="tx1"/>
            </w14:solidFill>
          </w14:textFill>
        </w:rPr>
      </w:pPr>
      <w:r>
        <w:rPr>
          <w:rFonts w:ascii="Times New Roman" w:hAnsi="Times New Roman" w:eastAsia="仿宋_GB2312" w:cs="仿宋_GB2312"/>
          <w:b/>
          <w:color w:val="000000" w:themeColor="text1"/>
          <w:highlight w:val="none"/>
          <w14:textFill>
            <w14:solidFill>
              <w14:schemeClr w14:val="tx1"/>
            </w14:solidFill>
          </w14:textFill>
        </w:rPr>
        <w:t>注：如供应商</w:t>
      </w:r>
      <w:r>
        <w:rPr>
          <w:rFonts w:hint="eastAsia" w:ascii="Times New Roman" w:hAnsi="Times New Roman" w:eastAsia="仿宋_GB2312" w:cs="仿宋_GB2312"/>
          <w:b/>
          <w:color w:val="000000" w:themeColor="text1"/>
          <w:highlight w:val="none"/>
          <w14:textFill>
            <w14:solidFill>
              <w14:schemeClr w14:val="tx1"/>
            </w14:solidFill>
          </w14:textFill>
        </w:rPr>
        <w:t>成交</w:t>
      </w:r>
      <w:r>
        <w:rPr>
          <w:rFonts w:ascii="Times New Roman" w:hAnsi="Times New Roman" w:eastAsia="仿宋_GB2312" w:cs="仿宋_GB2312"/>
          <w:b/>
          <w:color w:val="000000" w:themeColor="text1"/>
          <w:highlight w:val="none"/>
          <w14:textFill>
            <w14:solidFill>
              <w14:schemeClr w14:val="tx1"/>
            </w14:solidFill>
          </w14:textFill>
        </w:rPr>
        <w:t>，项目组成员必须按本表承诺人员操作，不得随意更换。按</w:t>
      </w:r>
      <w:r>
        <w:rPr>
          <w:rFonts w:hint="eastAsia" w:ascii="Times New Roman" w:hAnsi="Times New Roman" w:eastAsia="仿宋_GB2312" w:cs="仿宋_GB2312"/>
          <w:b/>
          <w:color w:val="000000" w:themeColor="text1"/>
          <w:highlight w:val="none"/>
          <w14:textFill>
            <w14:solidFill>
              <w14:schemeClr w14:val="tx1"/>
            </w14:solidFill>
          </w14:textFill>
        </w:rPr>
        <w:t>磋商</w:t>
      </w:r>
      <w:r>
        <w:rPr>
          <w:rFonts w:ascii="Times New Roman" w:hAnsi="Times New Roman" w:eastAsia="仿宋_GB2312" w:cs="仿宋_GB2312"/>
          <w:b/>
          <w:color w:val="000000" w:themeColor="text1"/>
          <w:highlight w:val="none"/>
          <w14:textFill>
            <w14:solidFill>
              <w14:schemeClr w14:val="tx1"/>
            </w14:solidFill>
          </w14:textFill>
        </w:rPr>
        <w:t>文件要求附相关人员证书。</w:t>
      </w:r>
    </w:p>
    <w:p w14:paraId="0E672184">
      <w:pPr>
        <w:pStyle w:val="38"/>
        <w:spacing w:line="500" w:lineRule="exact"/>
        <w:ind w:firstLine="280"/>
        <w:rPr>
          <w:rFonts w:ascii="Times New Roman" w:hAnsi="Times New Roman" w:eastAsia="仿宋_GB2312" w:cs="仿宋_GB2312"/>
          <w:color w:val="000000" w:themeColor="text1"/>
          <w:highlight w:val="none"/>
          <w14:textFill>
            <w14:solidFill>
              <w14:schemeClr w14:val="tx1"/>
            </w14:solidFill>
          </w14:textFill>
        </w:rPr>
      </w:pPr>
    </w:p>
    <w:p w14:paraId="2B0E4B49">
      <w:pPr>
        <w:pStyle w:val="3"/>
        <w:spacing w:line="240" w:lineRule="auto"/>
        <w:rPr>
          <w:rFonts w:ascii="Times New Roman" w:hAnsi="Times New Roman"/>
          <w:color w:val="000000" w:themeColor="text1"/>
          <w:kern w:val="2"/>
          <w:szCs w:val="32"/>
          <w:highlight w:val="none"/>
          <w14:textFill>
            <w14:solidFill>
              <w14:schemeClr w14:val="tx1"/>
            </w14:solidFill>
          </w14:textFill>
        </w:rPr>
      </w:pPr>
      <w:r>
        <w:rPr>
          <w:color w:val="000000" w:themeColor="text1"/>
          <w:highlight w:val="none"/>
          <w14:textFill>
            <w14:solidFill>
              <w14:schemeClr w14:val="tx1"/>
            </w14:solidFill>
          </w14:textFill>
        </w:rPr>
        <w:br w:type="page" w:clear="all"/>
      </w:r>
      <w:bookmarkStart w:id="256" w:name="_Toc11176"/>
      <w:r>
        <w:rPr>
          <w:rFonts w:hint="eastAsia"/>
          <w:color w:val="000000" w:themeColor="text1"/>
          <w:highlight w:val="none"/>
          <w14:textFill>
            <w14:solidFill>
              <w14:schemeClr w14:val="tx1"/>
            </w14:solidFill>
          </w14:textFill>
        </w:rPr>
        <w:t>十、技术要求响应及偏离表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3291"/>
        <w:gridCol w:w="2852"/>
        <w:gridCol w:w="1308"/>
        <w:gridCol w:w="1173"/>
      </w:tblGrid>
      <w:tr w14:paraId="309D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 w:type="dxa"/>
            <w:noWrap/>
            <w:vAlign w:val="center"/>
          </w:tcPr>
          <w:p w14:paraId="1D5075AE">
            <w:pPr>
              <w:jc w:val="center"/>
              <w:rPr>
                <w:color w:val="000000" w:themeColor="text1"/>
                <w:kern w:val="2"/>
                <w:sz w:val="24"/>
                <w:szCs w:val="24"/>
                <w:highlight w:val="none"/>
                <w14:textFill>
                  <w14:solidFill>
                    <w14:schemeClr w14:val="tx1"/>
                  </w14:solidFill>
                </w14:textFill>
              </w:rPr>
            </w:pPr>
            <w:r>
              <w:rPr>
                <w:rFonts w:hint="eastAsia"/>
                <w:color w:val="000000" w:themeColor="text1"/>
                <w:kern w:val="2"/>
                <w:sz w:val="24"/>
                <w:szCs w:val="24"/>
                <w:highlight w:val="none"/>
                <w14:textFill>
                  <w14:solidFill>
                    <w14:schemeClr w14:val="tx1"/>
                  </w14:solidFill>
                </w14:textFill>
              </w:rPr>
              <w:t>序号</w:t>
            </w:r>
          </w:p>
        </w:tc>
        <w:tc>
          <w:tcPr>
            <w:tcW w:w="3291" w:type="dxa"/>
            <w:noWrap/>
            <w:vAlign w:val="center"/>
          </w:tcPr>
          <w:p w14:paraId="0A1A4594">
            <w:pPr>
              <w:widowControl/>
              <w:jc w:val="center"/>
              <w:rPr>
                <w:rFonts w:cs="宋体"/>
                <w:color w:val="000000" w:themeColor="text1"/>
                <w:sz w:val="24"/>
                <w:szCs w:val="24"/>
                <w:highlight w:val="none"/>
                <w14:textFill>
                  <w14:solidFill>
                    <w14:schemeClr w14:val="tx1"/>
                  </w14:solidFill>
                </w14:textFill>
              </w:rPr>
            </w:pPr>
            <w:r>
              <w:rPr>
                <w:rFonts w:cs="宋体"/>
                <w:color w:val="000000" w:themeColor="text1"/>
                <w:sz w:val="24"/>
                <w:szCs w:val="24"/>
                <w:highlight w:val="none"/>
                <w14:textFill>
                  <w14:solidFill>
                    <w14:schemeClr w14:val="tx1"/>
                  </w14:solidFill>
                </w14:textFill>
              </w:rPr>
              <w:t>技术要求和商务要求中的实质性要求（打“★”内容）</w:t>
            </w:r>
          </w:p>
        </w:tc>
        <w:tc>
          <w:tcPr>
            <w:tcW w:w="2852" w:type="dxa"/>
            <w:noWrap/>
            <w:vAlign w:val="center"/>
          </w:tcPr>
          <w:p w14:paraId="680B4ECB">
            <w:pPr>
              <w:widowControl/>
              <w:jc w:val="center"/>
              <w:rPr>
                <w:rFonts w:cs="宋体"/>
                <w:color w:val="000000" w:themeColor="text1"/>
                <w:sz w:val="24"/>
                <w:szCs w:val="24"/>
                <w:highlight w:val="none"/>
                <w14:textFill>
                  <w14:solidFill>
                    <w14:schemeClr w14:val="tx1"/>
                  </w14:solidFill>
                </w14:textFill>
              </w:rPr>
            </w:pPr>
            <w:r>
              <w:rPr>
                <w:rFonts w:cs="宋体"/>
                <w:color w:val="000000" w:themeColor="text1"/>
                <w:sz w:val="24"/>
                <w:szCs w:val="24"/>
                <w:highlight w:val="none"/>
                <w14:textFill>
                  <w14:solidFill>
                    <w14:schemeClr w14:val="tx1"/>
                  </w14:solidFill>
                </w14:textFill>
              </w:rPr>
              <w:t>响应情况</w:t>
            </w:r>
            <w:r>
              <w:rPr>
                <w:rFonts w:hint="eastAsia" w:cs="宋体"/>
                <w:color w:val="000000" w:themeColor="text1"/>
                <w:sz w:val="24"/>
                <w:szCs w:val="24"/>
                <w:highlight w:val="none"/>
                <w14:textFill>
                  <w14:solidFill>
                    <w14:schemeClr w14:val="tx1"/>
                  </w14:solidFill>
                </w14:textFill>
              </w:rPr>
              <w:t>（填报“响应或完全响应”）</w:t>
            </w:r>
          </w:p>
        </w:tc>
        <w:tc>
          <w:tcPr>
            <w:tcW w:w="1308" w:type="dxa"/>
            <w:noWrap/>
            <w:vAlign w:val="center"/>
          </w:tcPr>
          <w:p w14:paraId="48009934">
            <w:pPr>
              <w:widowControl/>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偏离（填报“正偏离、符合或负偏离”）</w:t>
            </w:r>
          </w:p>
        </w:tc>
        <w:tc>
          <w:tcPr>
            <w:tcW w:w="1173" w:type="dxa"/>
            <w:noWrap/>
            <w:vAlign w:val="center"/>
          </w:tcPr>
          <w:p w14:paraId="79273BFE">
            <w:pPr>
              <w:jc w:val="center"/>
              <w:rPr>
                <w:color w:val="000000" w:themeColor="text1"/>
                <w:kern w:val="2"/>
                <w:sz w:val="24"/>
                <w:szCs w:val="24"/>
                <w:highlight w:val="none"/>
                <w14:textFill>
                  <w14:solidFill>
                    <w14:schemeClr w14:val="tx1"/>
                  </w14:solidFill>
                </w14:textFill>
              </w:rPr>
            </w:pPr>
            <w:r>
              <w:rPr>
                <w:rFonts w:hint="eastAsia"/>
                <w:color w:val="000000" w:themeColor="text1"/>
                <w:kern w:val="2"/>
                <w:sz w:val="24"/>
                <w:szCs w:val="24"/>
                <w:highlight w:val="none"/>
                <w14:textFill>
                  <w14:solidFill>
                    <w14:schemeClr w14:val="tx1"/>
                  </w14:solidFill>
                </w14:textFill>
              </w:rPr>
              <w:t>证明</w:t>
            </w:r>
          </w:p>
          <w:p w14:paraId="7B95ED1D">
            <w:pPr>
              <w:jc w:val="center"/>
              <w:rPr>
                <w:color w:val="000000" w:themeColor="text1"/>
                <w:kern w:val="2"/>
                <w:sz w:val="24"/>
                <w:szCs w:val="24"/>
                <w:highlight w:val="none"/>
                <w14:textFill>
                  <w14:solidFill>
                    <w14:schemeClr w14:val="tx1"/>
                  </w14:solidFill>
                </w14:textFill>
              </w:rPr>
            </w:pPr>
            <w:r>
              <w:rPr>
                <w:rFonts w:hint="eastAsia"/>
                <w:color w:val="000000" w:themeColor="text1"/>
                <w:kern w:val="2"/>
                <w:sz w:val="24"/>
                <w:szCs w:val="24"/>
                <w:highlight w:val="none"/>
                <w14:textFill>
                  <w14:solidFill>
                    <w14:schemeClr w14:val="tx1"/>
                  </w14:solidFill>
                </w14:textFill>
              </w:rPr>
              <w:t>材料</w:t>
            </w:r>
          </w:p>
          <w:p w14:paraId="40E87F67">
            <w:pPr>
              <w:jc w:val="center"/>
              <w:rPr>
                <w:color w:val="000000" w:themeColor="text1"/>
                <w:kern w:val="2"/>
                <w:sz w:val="24"/>
                <w:szCs w:val="24"/>
                <w:highlight w:val="none"/>
                <w14:textFill>
                  <w14:solidFill>
                    <w14:schemeClr w14:val="tx1"/>
                  </w14:solidFill>
                </w14:textFill>
              </w:rPr>
            </w:pPr>
            <w:r>
              <w:rPr>
                <w:rFonts w:hint="eastAsia"/>
                <w:color w:val="000000" w:themeColor="text1"/>
                <w:kern w:val="2"/>
                <w:sz w:val="24"/>
                <w:szCs w:val="24"/>
                <w:highlight w:val="none"/>
                <w14:textFill>
                  <w14:solidFill>
                    <w14:schemeClr w14:val="tx1"/>
                  </w14:solidFill>
                </w14:textFill>
              </w:rPr>
              <w:t>页码</w:t>
            </w:r>
          </w:p>
        </w:tc>
      </w:tr>
      <w:tr w14:paraId="0D88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tcPr>
          <w:p w14:paraId="5CE6E93A">
            <w:pPr>
              <w:jc w:val="center"/>
              <w:rPr>
                <w:color w:val="000000" w:themeColor="text1"/>
                <w:kern w:val="2"/>
                <w:sz w:val="24"/>
                <w:szCs w:val="24"/>
                <w:highlight w:val="none"/>
                <w14:textFill>
                  <w14:solidFill>
                    <w14:schemeClr w14:val="tx1"/>
                  </w14:solidFill>
                </w14:textFill>
              </w:rPr>
            </w:pPr>
          </w:p>
        </w:tc>
        <w:tc>
          <w:tcPr>
            <w:tcW w:w="3291" w:type="dxa"/>
            <w:noWrap/>
          </w:tcPr>
          <w:p w14:paraId="06479819">
            <w:pPr>
              <w:jc w:val="center"/>
              <w:rPr>
                <w:color w:val="000000" w:themeColor="text1"/>
                <w:kern w:val="2"/>
                <w:sz w:val="24"/>
                <w:szCs w:val="24"/>
                <w:highlight w:val="none"/>
                <w14:textFill>
                  <w14:solidFill>
                    <w14:schemeClr w14:val="tx1"/>
                  </w14:solidFill>
                </w14:textFill>
              </w:rPr>
            </w:pPr>
          </w:p>
        </w:tc>
        <w:tc>
          <w:tcPr>
            <w:tcW w:w="2852" w:type="dxa"/>
            <w:noWrap/>
          </w:tcPr>
          <w:p w14:paraId="5A5D1290">
            <w:pPr>
              <w:jc w:val="center"/>
              <w:rPr>
                <w:color w:val="000000" w:themeColor="text1"/>
                <w:kern w:val="2"/>
                <w:sz w:val="24"/>
                <w:szCs w:val="24"/>
                <w:highlight w:val="none"/>
                <w14:textFill>
                  <w14:solidFill>
                    <w14:schemeClr w14:val="tx1"/>
                  </w14:solidFill>
                </w14:textFill>
              </w:rPr>
            </w:pPr>
          </w:p>
        </w:tc>
        <w:tc>
          <w:tcPr>
            <w:tcW w:w="1308" w:type="dxa"/>
            <w:noWrap/>
          </w:tcPr>
          <w:p w14:paraId="4E06031E">
            <w:pPr>
              <w:jc w:val="center"/>
              <w:rPr>
                <w:color w:val="000000" w:themeColor="text1"/>
                <w:kern w:val="2"/>
                <w:sz w:val="24"/>
                <w:szCs w:val="24"/>
                <w:highlight w:val="none"/>
                <w14:textFill>
                  <w14:solidFill>
                    <w14:schemeClr w14:val="tx1"/>
                  </w14:solidFill>
                </w14:textFill>
              </w:rPr>
            </w:pPr>
          </w:p>
        </w:tc>
        <w:tc>
          <w:tcPr>
            <w:tcW w:w="1173" w:type="dxa"/>
            <w:noWrap/>
          </w:tcPr>
          <w:p w14:paraId="2327082F">
            <w:pPr>
              <w:jc w:val="center"/>
              <w:rPr>
                <w:color w:val="000000" w:themeColor="text1"/>
                <w:kern w:val="2"/>
                <w:sz w:val="24"/>
                <w:szCs w:val="24"/>
                <w:highlight w:val="none"/>
                <w14:textFill>
                  <w14:solidFill>
                    <w14:schemeClr w14:val="tx1"/>
                  </w14:solidFill>
                </w14:textFill>
              </w:rPr>
            </w:pPr>
          </w:p>
        </w:tc>
      </w:tr>
      <w:tr w14:paraId="710D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tcPr>
          <w:p w14:paraId="38BABC90">
            <w:pPr>
              <w:jc w:val="center"/>
              <w:rPr>
                <w:color w:val="000000" w:themeColor="text1"/>
                <w:kern w:val="2"/>
                <w:sz w:val="24"/>
                <w:szCs w:val="24"/>
                <w:highlight w:val="none"/>
                <w14:textFill>
                  <w14:solidFill>
                    <w14:schemeClr w14:val="tx1"/>
                  </w14:solidFill>
                </w14:textFill>
              </w:rPr>
            </w:pPr>
          </w:p>
        </w:tc>
        <w:tc>
          <w:tcPr>
            <w:tcW w:w="3291" w:type="dxa"/>
            <w:noWrap/>
          </w:tcPr>
          <w:p w14:paraId="33C356E0">
            <w:pPr>
              <w:jc w:val="center"/>
              <w:rPr>
                <w:color w:val="000000" w:themeColor="text1"/>
                <w:kern w:val="2"/>
                <w:sz w:val="24"/>
                <w:szCs w:val="24"/>
                <w:highlight w:val="none"/>
                <w14:textFill>
                  <w14:solidFill>
                    <w14:schemeClr w14:val="tx1"/>
                  </w14:solidFill>
                </w14:textFill>
              </w:rPr>
            </w:pPr>
          </w:p>
        </w:tc>
        <w:tc>
          <w:tcPr>
            <w:tcW w:w="2852" w:type="dxa"/>
            <w:noWrap/>
          </w:tcPr>
          <w:p w14:paraId="0AE36873">
            <w:pPr>
              <w:jc w:val="center"/>
              <w:rPr>
                <w:color w:val="000000" w:themeColor="text1"/>
                <w:kern w:val="2"/>
                <w:sz w:val="24"/>
                <w:szCs w:val="24"/>
                <w:highlight w:val="none"/>
                <w14:textFill>
                  <w14:solidFill>
                    <w14:schemeClr w14:val="tx1"/>
                  </w14:solidFill>
                </w14:textFill>
              </w:rPr>
            </w:pPr>
          </w:p>
        </w:tc>
        <w:tc>
          <w:tcPr>
            <w:tcW w:w="1308" w:type="dxa"/>
            <w:noWrap/>
          </w:tcPr>
          <w:p w14:paraId="5883F7BE">
            <w:pPr>
              <w:jc w:val="center"/>
              <w:rPr>
                <w:color w:val="000000" w:themeColor="text1"/>
                <w:kern w:val="2"/>
                <w:sz w:val="24"/>
                <w:szCs w:val="24"/>
                <w:highlight w:val="none"/>
                <w14:textFill>
                  <w14:solidFill>
                    <w14:schemeClr w14:val="tx1"/>
                  </w14:solidFill>
                </w14:textFill>
              </w:rPr>
            </w:pPr>
          </w:p>
        </w:tc>
        <w:tc>
          <w:tcPr>
            <w:tcW w:w="1173" w:type="dxa"/>
            <w:noWrap/>
          </w:tcPr>
          <w:p w14:paraId="20056B5D">
            <w:pPr>
              <w:jc w:val="center"/>
              <w:rPr>
                <w:color w:val="000000" w:themeColor="text1"/>
                <w:kern w:val="2"/>
                <w:sz w:val="24"/>
                <w:szCs w:val="24"/>
                <w:highlight w:val="none"/>
                <w14:textFill>
                  <w14:solidFill>
                    <w14:schemeClr w14:val="tx1"/>
                  </w14:solidFill>
                </w14:textFill>
              </w:rPr>
            </w:pPr>
          </w:p>
        </w:tc>
      </w:tr>
      <w:tr w14:paraId="5D7B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tcPr>
          <w:p w14:paraId="22E5BE4A">
            <w:pPr>
              <w:jc w:val="center"/>
              <w:rPr>
                <w:color w:val="000000" w:themeColor="text1"/>
                <w:kern w:val="2"/>
                <w:sz w:val="24"/>
                <w:szCs w:val="24"/>
                <w:highlight w:val="none"/>
                <w14:textFill>
                  <w14:solidFill>
                    <w14:schemeClr w14:val="tx1"/>
                  </w14:solidFill>
                </w14:textFill>
              </w:rPr>
            </w:pPr>
          </w:p>
        </w:tc>
        <w:tc>
          <w:tcPr>
            <w:tcW w:w="3291" w:type="dxa"/>
            <w:noWrap/>
          </w:tcPr>
          <w:p w14:paraId="29D23C27">
            <w:pPr>
              <w:jc w:val="center"/>
              <w:rPr>
                <w:color w:val="000000" w:themeColor="text1"/>
                <w:kern w:val="2"/>
                <w:sz w:val="24"/>
                <w:szCs w:val="24"/>
                <w:highlight w:val="none"/>
                <w14:textFill>
                  <w14:solidFill>
                    <w14:schemeClr w14:val="tx1"/>
                  </w14:solidFill>
                </w14:textFill>
              </w:rPr>
            </w:pPr>
          </w:p>
        </w:tc>
        <w:tc>
          <w:tcPr>
            <w:tcW w:w="2852" w:type="dxa"/>
            <w:noWrap/>
          </w:tcPr>
          <w:p w14:paraId="1FADCAEA">
            <w:pPr>
              <w:jc w:val="center"/>
              <w:rPr>
                <w:color w:val="000000" w:themeColor="text1"/>
                <w:kern w:val="2"/>
                <w:sz w:val="24"/>
                <w:szCs w:val="24"/>
                <w:highlight w:val="none"/>
                <w14:textFill>
                  <w14:solidFill>
                    <w14:schemeClr w14:val="tx1"/>
                  </w14:solidFill>
                </w14:textFill>
              </w:rPr>
            </w:pPr>
          </w:p>
        </w:tc>
        <w:tc>
          <w:tcPr>
            <w:tcW w:w="1308" w:type="dxa"/>
            <w:noWrap/>
          </w:tcPr>
          <w:p w14:paraId="57A5803E">
            <w:pPr>
              <w:jc w:val="center"/>
              <w:rPr>
                <w:color w:val="000000" w:themeColor="text1"/>
                <w:kern w:val="2"/>
                <w:sz w:val="24"/>
                <w:szCs w:val="24"/>
                <w:highlight w:val="none"/>
                <w14:textFill>
                  <w14:solidFill>
                    <w14:schemeClr w14:val="tx1"/>
                  </w14:solidFill>
                </w14:textFill>
              </w:rPr>
            </w:pPr>
          </w:p>
        </w:tc>
        <w:tc>
          <w:tcPr>
            <w:tcW w:w="1173" w:type="dxa"/>
            <w:noWrap/>
          </w:tcPr>
          <w:p w14:paraId="337D56BC">
            <w:pPr>
              <w:jc w:val="center"/>
              <w:rPr>
                <w:color w:val="000000" w:themeColor="text1"/>
                <w:kern w:val="2"/>
                <w:sz w:val="24"/>
                <w:szCs w:val="24"/>
                <w:highlight w:val="none"/>
                <w14:textFill>
                  <w14:solidFill>
                    <w14:schemeClr w14:val="tx1"/>
                  </w14:solidFill>
                </w14:textFill>
              </w:rPr>
            </w:pPr>
          </w:p>
        </w:tc>
      </w:tr>
      <w:tr w14:paraId="4B34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tcPr>
          <w:p w14:paraId="3CF21A64">
            <w:pPr>
              <w:jc w:val="center"/>
              <w:rPr>
                <w:color w:val="000000" w:themeColor="text1"/>
                <w:kern w:val="2"/>
                <w:sz w:val="24"/>
                <w:szCs w:val="24"/>
                <w:highlight w:val="none"/>
                <w14:textFill>
                  <w14:solidFill>
                    <w14:schemeClr w14:val="tx1"/>
                  </w14:solidFill>
                </w14:textFill>
              </w:rPr>
            </w:pPr>
          </w:p>
        </w:tc>
        <w:tc>
          <w:tcPr>
            <w:tcW w:w="3291" w:type="dxa"/>
            <w:noWrap/>
          </w:tcPr>
          <w:p w14:paraId="6296D1DC">
            <w:pPr>
              <w:jc w:val="center"/>
              <w:rPr>
                <w:color w:val="000000" w:themeColor="text1"/>
                <w:kern w:val="2"/>
                <w:sz w:val="24"/>
                <w:szCs w:val="24"/>
                <w:highlight w:val="none"/>
                <w14:textFill>
                  <w14:solidFill>
                    <w14:schemeClr w14:val="tx1"/>
                  </w14:solidFill>
                </w14:textFill>
              </w:rPr>
            </w:pPr>
          </w:p>
        </w:tc>
        <w:tc>
          <w:tcPr>
            <w:tcW w:w="2852" w:type="dxa"/>
            <w:noWrap/>
          </w:tcPr>
          <w:p w14:paraId="71217724">
            <w:pPr>
              <w:jc w:val="center"/>
              <w:rPr>
                <w:color w:val="000000" w:themeColor="text1"/>
                <w:kern w:val="2"/>
                <w:sz w:val="24"/>
                <w:szCs w:val="24"/>
                <w:highlight w:val="none"/>
                <w14:textFill>
                  <w14:solidFill>
                    <w14:schemeClr w14:val="tx1"/>
                  </w14:solidFill>
                </w14:textFill>
              </w:rPr>
            </w:pPr>
          </w:p>
        </w:tc>
        <w:tc>
          <w:tcPr>
            <w:tcW w:w="1308" w:type="dxa"/>
            <w:noWrap/>
          </w:tcPr>
          <w:p w14:paraId="3E713745">
            <w:pPr>
              <w:jc w:val="center"/>
              <w:rPr>
                <w:color w:val="000000" w:themeColor="text1"/>
                <w:kern w:val="2"/>
                <w:sz w:val="24"/>
                <w:szCs w:val="24"/>
                <w:highlight w:val="none"/>
                <w14:textFill>
                  <w14:solidFill>
                    <w14:schemeClr w14:val="tx1"/>
                  </w14:solidFill>
                </w14:textFill>
              </w:rPr>
            </w:pPr>
          </w:p>
        </w:tc>
        <w:tc>
          <w:tcPr>
            <w:tcW w:w="1173" w:type="dxa"/>
            <w:noWrap/>
          </w:tcPr>
          <w:p w14:paraId="23D90DAE">
            <w:pPr>
              <w:jc w:val="center"/>
              <w:rPr>
                <w:color w:val="000000" w:themeColor="text1"/>
                <w:kern w:val="2"/>
                <w:sz w:val="24"/>
                <w:szCs w:val="24"/>
                <w:highlight w:val="none"/>
                <w14:textFill>
                  <w14:solidFill>
                    <w14:schemeClr w14:val="tx1"/>
                  </w14:solidFill>
                </w14:textFill>
              </w:rPr>
            </w:pPr>
          </w:p>
        </w:tc>
      </w:tr>
      <w:tr w14:paraId="6CFE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tcPr>
          <w:p w14:paraId="383FC9BA">
            <w:pPr>
              <w:jc w:val="center"/>
              <w:rPr>
                <w:color w:val="000000" w:themeColor="text1"/>
                <w:kern w:val="2"/>
                <w:sz w:val="24"/>
                <w:szCs w:val="24"/>
                <w:highlight w:val="none"/>
                <w14:textFill>
                  <w14:solidFill>
                    <w14:schemeClr w14:val="tx1"/>
                  </w14:solidFill>
                </w14:textFill>
              </w:rPr>
            </w:pPr>
          </w:p>
        </w:tc>
        <w:tc>
          <w:tcPr>
            <w:tcW w:w="3291" w:type="dxa"/>
            <w:noWrap/>
          </w:tcPr>
          <w:p w14:paraId="6DC8BE2F">
            <w:pPr>
              <w:jc w:val="center"/>
              <w:rPr>
                <w:color w:val="000000" w:themeColor="text1"/>
                <w:kern w:val="2"/>
                <w:sz w:val="24"/>
                <w:szCs w:val="24"/>
                <w:highlight w:val="none"/>
                <w14:textFill>
                  <w14:solidFill>
                    <w14:schemeClr w14:val="tx1"/>
                  </w14:solidFill>
                </w14:textFill>
              </w:rPr>
            </w:pPr>
          </w:p>
        </w:tc>
        <w:tc>
          <w:tcPr>
            <w:tcW w:w="2852" w:type="dxa"/>
            <w:noWrap/>
          </w:tcPr>
          <w:p w14:paraId="3170B385">
            <w:pPr>
              <w:jc w:val="center"/>
              <w:rPr>
                <w:color w:val="000000" w:themeColor="text1"/>
                <w:kern w:val="2"/>
                <w:sz w:val="24"/>
                <w:szCs w:val="24"/>
                <w:highlight w:val="none"/>
                <w14:textFill>
                  <w14:solidFill>
                    <w14:schemeClr w14:val="tx1"/>
                  </w14:solidFill>
                </w14:textFill>
              </w:rPr>
            </w:pPr>
          </w:p>
        </w:tc>
        <w:tc>
          <w:tcPr>
            <w:tcW w:w="1308" w:type="dxa"/>
            <w:noWrap/>
          </w:tcPr>
          <w:p w14:paraId="2322ED4D">
            <w:pPr>
              <w:jc w:val="center"/>
              <w:rPr>
                <w:color w:val="000000" w:themeColor="text1"/>
                <w:kern w:val="2"/>
                <w:sz w:val="24"/>
                <w:szCs w:val="24"/>
                <w:highlight w:val="none"/>
                <w14:textFill>
                  <w14:solidFill>
                    <w14:schemeClr w14:val="tx1"/>
                  </w14:solidFill>
                </w14:textFill>
              </w:rPr>
            </w:pPr>
          </w:p>
        </w:tc>
        <w:tc>
          <w:tcPr>
            <w:tcW w:w="1173" w:type="dxa"/>
            <w:noWrap/>
          </w:tcPr>
          <w:p w14:paraId="02CA144B">
            <w:pPr>
              <w:jc w:val="center"/>
              <w:rPr>
                <w:color w:val="000000" w:themeColor="text1"/>
                <w:kern w:val="2"/>
                <w:sz w:val="24"/>
                <w:szCs w:val="24"/>
                <w:highlight w:val="none"/>
                <w14:textFill>
                  <w14:solidFill>
                    <w14:schemeClr w14:val="tx1"/>
                  </w14:solidFill>
                </w14:textFill>
              </w:rPr>
            </w:pPr>
          </w:p>
        </w:tc>
      </w:tr>
      <w:tr w14:paraId="5EDC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tcPr>
          <w:p w14:paraId="7602D030">
            <w:pPr>
              <w:jc w:val="center"/>
              <w:rPr>
                <w:color w:val="000000" w:themeColor="text1"/>
                <w:kern w:val="2"/>
                <w:sz w:val="24"/>
                <w:szCs w:val="24"/>
                <w:highlight w:val="none"/>
                <w14:textFill>
                  <w14:solidFill>
                    <w14:schemeClr w14:val="tx1"/>
                  </w14:solidFill>
                </w14:textFill>
              </w:rPr>
            </w:pPr>
          </w:p>
        </w:tc>
        <w:tc>
          <w:tcPr>
            <w:tcW w:w="3291" w:type="dxa"/>
            <w:noWrap/>
          </w:tcPr>
          <w:p w14:paraId="709DB385">
            <w:pPr>
              <w:jc w:val="center"/>
              <w:rPr>
                <w:color w:val="000000" w:themeColor="text1"/>
                <w:kern w:val="2"/>
                <w:sz w:val="24"/>
                <w:szCs w:val="24"/>
                <w:highlight w:val="none"/>
                <w14:textFill>
                  <w14:solidFill>
                    <w14:schemeClr w14:val="tx1"/>
                  </w14:solidFill>
                </w14:textFill>
              </w:rPr>
            </w:pPr>
          </w:p>
        </w:tc>
        <w:tc>
          <w:tcPr>
            <w:tcW w:w="2852" w:type="dxa"/>
            <w:noWrap/>
          </w:tcPr>
          <w:p w14:paraId="3CBAE189">
            <w:pPr>
              <w:jc w:val="center"/>
              <w:rPr>
                <w:color w:val="000000" w:themeColor="text1"/>
                <w:kern w:val="2"/>
                <w:sz w:val="24"/>
                <w:szCs w:val="24"/>
                <w:highlight w:val="none"/>
                <w14:textFill>
                  <w14:solidFill>
                    <w14:schemeClr w14:val="tx1"/>
                  </w14:solidFill>
                </w14:textFill>
              </w:rPr>
            </w:pPr>
          </w:p>
        </w:tc>
        <w:tc>
          <w:tcPr>
            <w:tcW w:w="1308" w:type="dxa"/>
            <w:noWrap/>
          </w:tcPr>
          <w:p w14:paraId="03C0BB27">
            <w:pPr>
              <w:jc w:val="center"/>
              <w:rPr>
                <w:color w:val="000000" w:themeColor="text1"/>
                <w:kern w:val="2"/>
                <w:sz w:val="24"/>
                <w:szCs w:val="24"/>
                <w:highlight w:val="none"/>
                <w14:textFill>
                  <w14:solidFill>
                    <w14:schemeClr w14:val="tx1"/>
                  </w14:solidFill>
                </w14:textFill>
              </w:rPr>
            </w:pPr>
          </w:p>
        </w:tc>
        <w:tc>
          <w:tcPr>
            <w:tcW w:w="1173" w:type="dxa"/>
            <w:noWrap/>
          </w:tcPr>
          <w:p w14:paraId="728A4E2E">
            <w:pPr>
              <w:jc w:val="center"/>
              <w:rPr>
                <w:color w:val="000000" w:themeColor="text1"/>
                <w:kern w:val="2"/>
                <w:sz w:val="24"/>
                <w:szCs w:val="24"/>
                <w:highlight w:val="none"/>
                <w14:textFill>
                  <w14:solidFill>
                    <w14:schemeClr w14:val="tx1"/>
                  </w14:solidFill>
                </w14:textFill>
              </w:rPr>
            </w:pPr>
          </w:p>
        </w:tc>
      </w:tr>
      <w:tr w14:paraId="5564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tcPr>
          <w:p w14:paraId="6D81CFF9">
            <w:pPr>
              <w:jc w:val="center"/>
              <w:rPr>
                <w:color w:val="000000" w:themeColor="text1"/>
                <w:kern w:val="2"/>
                <w:sz w:val="24"/>
                <w:szCs w:val="24"/>
                <w:highlight w:val="none"/>
                <w14:textFill>
                  <w14:solidFill>
                    <w14:schemeClr w14:val="tx1"/>
                  </w14:solidFill>
                </w14:textFill>
              </w:rPr>
            </w:pPr>
          </w:p>
        </w:tc>
        <w:tc>
          <w:tcPr>
            <w:tcW w:w="3291" w:type="dxa"/>
            <w:noWrap/>
          </w:tcPr>
          <w:p w14:paraId="02A076AC">
            <w:pPr>
              <w:jc w:val="center"/>
              <w:rPr>
                <w:color w:val="000000" w:themeColor="text1"/>
                <w:kern w:val="2"/>
                <w:sz w:val="24"/>
                <w:szCs w:val="24"/>
                <w:highlight w:val="none"/>
                <w14:textFill>
                  <w14:solidFill>
                    <w14:schemeClr w14:val="tx1"/>
                  </w14:solidFill>
                </w14:textFill>
              </w:rPr>
            </w:pPr>
          </w:p>
        </w:tc>
        <w:tc>
          <w:tcPr>
            <w:tcW w:w="2852" w:type="dxa"/>
            <w:noWrap/>
          </w:tcPr>
          <w:p w14:paraId="2BAFE017">
            <w:pPr>
              <w:jc w:val="center"/>
              <w:rPr>
                <w:color w:val="000000" w:themeColor="text1"/>
                <w:kern w:val="2"/>
                <w:sz w:val="24"/>
                <w:szCs w:val="24"/>
                <w:highlight w:val="none"/>
                <w14:textFill>
                  <w14:solidFill>
                    <w14:schemeClr w14:val="tx1"/>
                  </w14:solidFill>
                </w14:textFill>
              </w:rPr>
            </w:pPr>
          </w:p>
        </w:tc>
        <w:tc>
          <w:tcPr>
            <w:tcW w:w="1308" w:type="dxa"/>
            <w:noWrap/>
          </w:tcPr>
          <w:p w14:paraId="1C114FDE">
            <w:pPr>
              <w:jc w:val="center"/>
              <w:rPr>
                <w:color w:val="000000" w:themeColor="text1"/>
                <w:kern w:val="2"/>
                <w:sz w:val="24"/>
                <w:szCs w:val="24"/>
                <w:highlight w:val="none"/>
                <w14:textFill>
                  <w14:solidFill>
                    <w14:schemeClr w14:val="tx1"/>
                  </w14:solidFill>
                </w14:textFill>
              </w:rPr>
            </w:pPr>
          </w:p>
        </w:tc>
        <w:tc>
          <w:tcPr>
            <w:tcW w:w="1173" w:type="dxa"/>
            <w:noWrap/>
          </w:tcPr>
          <w:p w14:paraId="23DB1ED6">
            <w:pPr>
              <w:jc w:val="center"/>
              <w:rPr>
                <w:color w:val="000000" w:themeColor="text1"/>
                <w:kern w:val="2"/>
                <w:sz w:val="24"/>
                <w:szCs w:val="24"/>
                <w:highlight w:val="none"/>
                <w14:textFill>
                  <w14:solidFill>
                    <w14:schemeClr w14:val="tx1"/>
                  </w14:solidFill>
                </w14:textFill>
              </w:rPr>
            </w:pPr>
          </w:p>
        </w:tc>
      </w:tr>
      <w:tr w14:paraId="117C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tcPr>
          <w:p w14:paraId="0D3C7856">
            <w:pPr>
              <w:jc w:val="center"/>
              <w:rPr>
                <w:color w:val="000000" w:themeColor="text1"/>
                <w:kern w:val="2"/>
                <w:sz w:val="24"/>
                <w:szCs w:val="24"/>
                <w:highlight w:val="none"/>
                <w14:textFill>
                  <w14:solidFill>
                    <w14:schemeClr w14:val="tx1"/>
                  </w14:solidFill>
                </w14:textFill>
              </w:rPr>
            </w:pPr>
          </w:p>
        </w:tc>
        <w:tc>
          <w:tcPr>
            <w:tcW w:w="3291" w:type="dxa"/>
            <w:noWrap/>
          </w:tcPr>
          <w:p w14:paraId="6A49BFD2">
            <w:pPr>
              <w:jc w:val="center"/>
              <w:rPr>
                <w:color w:val="000000" w:themeColor="text1"/>
                <w:kern w:val="2"/>
                <w:sz w:val="24"/>
                <w:szCs w:val="24"/>
                <w:highlight w:val="none"/>
                <w14:textFill>
                  <w14:solidFill>
                    <w14:schemeClr w14:val="tx1"/>
                  </w14:solidFill>
                </w14:textFill>
              </w:rPr>
            </w:pPr>
            <w:r>
              <w:rPr>
                <w:color w:val="000000" w:themeColor="text1"/>
                <w:kern w:val="2"/>
                <w:sz w:val="24"/>
                <w:szCs w:val="24"/>
                <w:highlight w:val="none"/>
                <w14:textFill>
                  <w14:solidFill>
                    <w14:schemeClr w14:val="tx1"/>
                  </w14:solidFill>
                </w14:textFill>
              </w:rPr>
              <w:t>……</w:t>
            </w:r>
          </w:p>
        </w:tc>
        <w:tc>
          <w:tcPr>
            <w:tcW w:w="2852" w:type="dxa"/>
            <w:noWrap/>
          </w:tcPr>
          <w:p w14:paraId="00FF4D34">
            <w:pPr>
              <w:jc w:val="center"/>
              <w:rPr>
                <w:color w:val="000000" w:themeColor="text1"/>
                <w:kern w:val="2"/>
                <w:sz w:val="24"/>
                <w:szCs w:val="24"/>
                <w:highlight w:val="none"/>
                <w14:textFill>
                  <w14:solidFill>
                    <w14:schemeClr w14:val="tx1"/>
                  </w14:solidFill>
                </w14:textFill>
              </w:rPr>
            </w:pPr>
          </w:p>
        </w:tc>
        <w:tc>
          <w:tcPr>
            <w:tcW w:w="1308" w:type="dxa"/>
            <w:noWrap/>
          </w:tcPr>
          <w:p w14:paraId="33B8C190">
            <w:pPr>
              <w:jc w:val="center"/>
              <w:rPr>
                <w:color w:val="000000" w:themeColor="text1"/>
                <w:kern w:val="2"/>
                <w:sz w:val="24"/>
                <w:szCs w:val="24"/>
                <w:highlight w:val="none"/>
                <w14:textFill>
                  <w14:solidFill>
                    <w14:schemeClr w14:val="tx1"/>
                  </w14:solidFill>
                </w14:textFill>
              </w:rPr>
            </w:pPr>
          </w:p>
        </w:tc>
        <w:tc>
          <w:tcPr>
            <w:tcW w:w="1173" w:type="dxa"/>
            <w:noWrap/>
          </w:tcPr>
          <w:p w14:paraId="74522FB2">
            <w:pPr>
              <w:jc w:val="center"/>
              <w:rPr>
                <w:color w:val="000000" w:themeColor="text1"/>
                <w:kern w:val="2"/>
                <w:sz w:val="24"/>
                <w:szCs w:val="24"/>
                <w:highlight w:val="none"/>
                <w14:textFill>
                  <w14:solidFill>
                    <w14:schemeClr w14:val="tx1"/>
                  </w14:solidFill>
                </w14:textFill>
              </w:rPr>
            </w:pPr>
          </w:p>
        </w:tc>
      </w:tr>
    </w:tbl>
    <w:p w14:paraId="2115EBC3">
      <w:pPr>
        <w:spacing w:line="588" w:lineRule="exact"/>
        <w:rPr>
          <w:color w:val="000000" w:themeColor="text1"/>
          <w:kern w:val="2"/>
          <w:sz w:val="24"/>
          <w:szCs w:val="21"/>
          <w:highlight w:val="none"/>
          <w14:textFill>
            <w14:solidFill>
              <w14:schemeClr w14:val="tx1"/>
            </w14:solidFill>
          </w14:textFill>
        </w:rPr>
      </w:pPr>
      <w:r>
        <w:rPr>
          <w:color w:val="000000" w:themeColor="text1"/>
          <w:kern w:val="2"/>
          <w:sz w:val="24"/>
          <w:szCs w:val="21"/>
          <w:highlight w:val="none"/>
          <w14:textFill>
            <w14:solidFill>
              <w14:schemeClr w14:val="tx1"/>
            </w14:solidFill>
          </w14:textFill>
        </w:rPr>
        <w:t>1.</w:t>
      </w:r>
      <w:r>
        <w:rPr>
          <w:rFonts w:hint="eastAsia"/>
          <w:color w:val="000000" w:themeColor="text1"/>
          <w:kern w:val="2"/>
          <w:sz w:val="24"/>
          <w:szCs w:val="21"/>
          <w:highlight w:val="none"/>
          <w14:textFill>
            <w14:solidFill>
              <w14:schemeClr w14:val="tx1"/>
            </w14:solidFill>
          </w14:textFill>
        </w:rPr>
        <w:t>投标人</w:t>
      </w:r>
      <w:r>
        <w:rPr>
          <w:color w:val="000000" w:themeColor="text1"/>
          <w:kern w:val="2"/>
          <w:sz w:val="24"/>
          <w:szCs w:val="21"/>
          <w:highlight w:val="none"/>
          <w14:textFill>
            <w14:solidFill>
              <w14:schemeClr w14:val="tx1"/>
            </w14:solidFill>
          </w14:textFill>
        </w:rPr>
        <w:t>必须对技术要求和商务要求中的实质性要求（打“★”内容）做出明确响应，否则作无效响应处理。</w:t>
      </w:r>
    </w:p>
    <w:p w14:paraId="5C9763BF">
      <w:pPr>
        <w:spacing w:line="588" w:lineRule="exact"/>
        <w:rPr>
          <w:color w:val="000000" w:themeColor="text1"/>
          <w:kern w:val="2"/>
          <w:sz w:val="24"/>
          <w:szCs w:val="21"/>
          <w:highlight w:val="none"/>
          <w14:textFill>
            <w14:solidFill>
              <w14:schemeClr w14:val="tx1"/>
            </w14:solidFill>
          </w14:textFill>
        </w:rPr>
      </w:pPr>
      <w:r>
        <w:rPr>
          <w:color w:val="000000" w:themeColor="text1"/>
          <w:kern w:val="2"/>
          <w:sz w:val="24"/>
          <w:szCs w:val="21"/>
          <w:highlight w:val="none"/>
          <w14:textFill>
            <w14:solidFill>
              <w14:schemeClr w14:val="tx1"/>
            </w14:solidFill>
          </w14:textFill>
        </w:rPr>
        <w:t>2.如果采购文件要求提供证明材料，</w:t>
      </w:r>
      <w:r>
        <w:rPr>
          <w:rFonts w:hint="eastAsia"/>
          <w:color w:val="000000" w:themeColor="text1"/>
          <w:kern w:val="2"/>
          <w:sz w:val="24"/>
          <w:szCs w:val="21"/>
          <w:highlight w:val="none"/>
          <w14:textFill>
            <w14:solidFill>
              <w14:schemeClr w14:val="tx1"/>
            </w14:solidFill>
          </w14:textFill>
        </w:rPr>
        <w:t>投标人</w:t>
      </w:r>
      <w:r>
        <w:rPr>
          <w:color w:val="000000" w:themeColor="text1"/>
          <w:kern w:val="2"/>
          <w:sz w:val="24"/>
          <w:szCs w:val="21"/>
          <w:highlight w:val="none"/>
          <w14:textFill>
            <w14:solidFill>
              <w14:schemeClr w14:val="tx1"/>
            </w14:solidFill>
          </w14:textFill>
        </w:rPr>
        <w:t>必须将证明材料列于该表之下。</w:t>
      </w:r>
    </w:p>
    <w:p w14:paraId="624B0BEF">
      <w:pPr>
        <w:spacing w:line="588" w:lineRule="exact"/>
        <w:rPr>
          <w:color w:val="000000" w:themeColor="text1"/>
          <w:kern w:val="2"/>
          <w:sz w:val="24"/>
          <w:szCs w:val="21"/>
          <w:highlight w:val="none"/>
          <w14:textFill>
            <w14:solidFill>
              <w14:schemeClr w14:val="tx1"/>
            </w14:solidFill>
          </w14:textFill>
        </w:rPr>
      </w:pPr>
      <w:r>
        <w:rPr>
          <w:color w:val="000000" w:themeColor="text1"/>
          <w:kern w:val="2"/>
          <w:sz w:val="24"/>
          <w:szCs w:val="21"/>
          <w:highlight w:val="none"/>
          <w14:textFill>
            <w14:solidFill>
              <w14:schemeClr w14:val="tx1"/>
            </w14:solidFill>
          </w14:textFill>
        </w:rPr>
        <w:t>3.</w:t>
      </w:r>
      <w:r>
        <w:rPr>
          <w:rFonts w:hint="eastAsia"/>
          <w:color w:val="000000" w:themeColor="text1"/>
          <w:kern w:val="2"/>
          <w:sz w:val="24"/>
          <w:szCs w:val="21"/>
          <w:highlight w:val="none"/>
          <w14:textFill>
            <w14:solidFill>
              <w14:schemeClr w14:val="tx1"/>
            </w14:solidFill>
          </w14:textFill>
        </w:rPr>
        <w:t>投标人</w:t>
      </w:r>
      <w:r>
        <w:rPr>
          <w:color w:val="000000" w:themeColor="text1"/>
          <w:kern w:val="2"/>
          <w:sz w:val="24"/>
          <w:szCs w:val="21"/>
          <w:highlight w:val="none"/>
          <w14:textFill>
            <w14:solidFill>
              <w14:schemeClr w14:val="tx1"/>
            </w14:solidFill>
          </w14:textFill>
        </w:rPr>
        <w:t>未对实质性要求作出明确响应的，或未按采购文件要求提供证明材料的，该分包作无效响应处理。</w:t>
      </w:r>
    </w:p>
    <w:p w14:paraId="4BFA6818">
      <w:pPr>
        <w:spacing w:line="588" w:lineRule="exact"/>
        <w:rPr>
          <w:color w:val="000000" w:themeColor="text1"/>
          <w:kern w:val="2"/>
          <w:sz w:val="24"/>
          <w:szCs w:val="21"/>
          <w:highlight w:val="none"/>
          <w14:textFill>
            <w14:solidFill>
              <w14:schemeClr w14:val="tx1"/>
            </w14:solidFill>
          </w14:textFill>
        </w:rPr>
      </w:pPr>
      <w:r>
        <w:rPr>
          <w:rFonts w:hint="eastAsia"/>
          <w:color w:val="000000" w:themeColor="text1"/>
          <w:kern w:val="2"/>
          <w:sz w:val="24"/>
          <w:szCs w:val="21"/>
          <w:highlight w:val="none"/>
          <w14:textFill>
            <w14:solidFill>
              <w14:schemeClr w14:val="tx1"/>
            </w14:solidFill>
          </w14:textFill>
        </w:rPr>
        <w:t>4.行数不够，可自行添加。</w:t>
      </w:r>
    </w:p>
    <w:p w14:paraId="0CA3FDC5">
      <w:pPr>
        <w:jc w:val="center"/>
        <w:rPr>
          <w:rFonts w:eastAsia="黑体"/>
          <w:b/>
          <w:color w:val="000000" w:themeColor="text1"/>
          <w:kern w:val="2"/>
          <w:sz w:val="36"/>
          <w:szCs w:val="21"/>
          <w:highlight w:val="none"/>
          <w14:textFill>
            <w14:solidFill>
              <w14:schemeClr w14:val="tx1"/>
            </w14:solidFill>
          </w14:textFill>
        </w:rPr>
        <w:sectPr>
          <w:pgSz w:w="11906" w:h="16838"/>
          <w:pgMar w:top="1440" w:right="1080" w:bottom="1440" w:left="1080" w:header="851" w:footer="907" w:gutter="0"/>
          <w:pgNumType w:fmt="decimal"/>
          <w:cols w:space="1701" w:num="1"/>
          <w:docGrid w:linePitch="360" w:charSpace="0"/>
        </w:sectPr>
      </w:pPr>
    </w:p>
    <w:p w14:paraId="78C60C8E">
      <w:pPr>
        <w:pStyle w:val="49"/>
        <w:spacing w:line="500" w:lineRule="exact"/>
        <w:outlineLvl w:val="1"/>
        <w:rPr>
          <w:rFonts w:eastAsia="黑体" w:cs="黑体"/>
          <w:b/>
          <w:color w:val="000000" w:themeColor="text1"/>
          <w:sz w:val="32"/>
          <w:highlight w:val="none"/>
          <w14:textFill>
            <w14:solidFill>
              <w14:schemeClr w14:val="tx1"/>
            </w14:solidFill>
          </w14:textFill>
        </w:rPr>
      </w:pPr>
      <w:r>
        <w:rPr>
          <w:rFonts w:hint="eastAsia" w:eastAsia="黑体" w:cs="黑体"/>
          <w:b/>
          <w:color w:val="000000" w:themeColor="text1"/>
          <w:sz w:val="32"/>
          <w:highlight w:val="none"/>
          <w14:textFill>
            <w14:solidFill>
              <w14:schemeClr w14:val="tx1"/>
            </w14:solidFill>
          </w14:textFill>
        </w:rPr>
        <w:t>十一、</w:t>
      </w:r>
      <w:bookmarkEnd w:id="256"/>
      <w:r>
        <w:rPr>
          <w:rFonts w:hint="eastAsia" w:eastAsia="黑体" w:cs="黑体"/>
          <w:b/>
          <w:color w:val="000000" w:themeColor="text1"/>
          <w:sz w:val="32"/>
          <w:highlight w:val="none"/>
          <w14:textFill>
            <w14:solidFill>
              <w14:schemeClr w14:val="tx1"/>
            </w14:solidFill>
          </w14:textFill>
        </w:rPr>
        <w:t>企业业绩</w:t>
      </w:r>
    </w:p>
    <w:p w14:paraId="3EE719AF">
      <w:pPr>
        <w:pStyle w:val="50"/>
        <w:jc w:val="center"/>
        <w:outlineLvl w:val="2"/>
        <w:rPr>
          <w:rFonts w:ascii="Times New Roman" w:hAnsi="Times New Roman"/>
          <w:b/>
          <w:color w:val="000000" w:themeColor="text1"/>
          <w:sz w:val="32"/>
          <w:szCs w:val="32"/>
          <w:highlight w:val="none"/>
          <w14:textFill>
            <w14:solidFill>
              <w14:schemeClr w14:val="tx1"/>
            </w14:solidFill>
          </w14:textFill>
        </w:rPr>
      </w:pPr>
      <w:r>
        <w:rPr>
          <w:rFonts w:hint="eastAsia" w:ascii="Times New Roman" w:hAnsi="Times New Roman"/>
          <w:b/>
          <w:color w:val="000000" w:themeColor="text1"/>
          <w:sz w:val="32"/>
          <w:szCs w:val="32"/>
          <w:highlight w:val="none"/>
          <w14:textFill>
            <w14:solidFill>
              <w14:schemeClr w14:val="tx1"/>
            </w14:solidFill>
          </w14:textFill>
        </w:rPr>
        <w:t>供应商承担类似项目业绩一览表</w:t>
      </w:r>
    </w:p>
    <w:tbl>
      <w:tblPr>
        <w:tblStyle w:val="13"/>
        <w:tblW w:w="8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3827"/>
        <w:gridCol w:w="2433"/>
        <w:gridCol w:w="1395"/>
      </w:tblGrid>
      <w:tr w14:paraId="48586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229" w:type="dxa"/>
            <w:noWrap/>
          </w:tcPr>
          <w:p w14:paraId="7D6F5BE9">
            <w:pPr>
              <w:pStyle w:val="51"/>
              <w:spacing w:line="560" w:lineRule="exact"/>
              <w:jc w:val="center"/>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序号</w:t>
            </w:r>
          </w:p>
        </w:tc>
        <w:tc>
          <w:tcPr>
            <w:tcW w:w="3827" w:type="dxa"/>
            <w:noWrap/>
            <w:vAlign w:val="center"/>
          </w:tcPr>
          <w:p w14:paraId="60DDA86F">
            <w:pPr>
              <w:pStyle w:val="51"/>
              <w:spacing w:line="560" w:lineRule="exact"/>
              <w:jc w:val="center"/>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项目名称</w:t>
            </w:r>
          </w:p>
        </w:tc>
        <w:tc>
          <w:tcPr>
            <w:tcW w:w="2433" w:type="dxa"/>
            <w:noWrap/>
            <w:vAlign w:val="center"/>
          </w:tcPr>
          <w:p w14:paraId="67E5C5B7">
            <w:pPr>
              <w:pStyle w:val="51"/>
              <w:spacing w:line="560" w:lineRule="exact"/>
              <w:jc w:val="center"/>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采购单位</w:t>
            </w:r>
          </w:p>
        </w:tc>
        <w:tc>
          <w:tcPr>
            <w:tcW w:w="1395" w:type="dxa"/>
            <w:noWrap/>
            <w:vAlign w:val="center"/>
          </w:tcPr>
          <w:p w14:paraId="5B43EB00">
            <w:pPr>
              <w:pStyle w:val="51"/>
              <w:spacing w:line="560" w:lineRule="exact"/>
              <w:jc w:val="center"/>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合同金额</w:t>
            </w:r>
          </w:p>
        </w:tc>
      </w:tr>
      <w:tr w14:paraId="2EF84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noWrap/>
          </w:tcPr>
          <w:p w14:paraId="486B8329">
            <w:pPr>
              <w:pStyle w:val="51"/>
              <w:spacing w:line="560" w:lineRule="exact"/>
              <w:jc w:val="center"/>
              <w:rPr>
                <w:rFonts w:eastAsia="仿宋_GB2312"/>
                <w:color w:val="000000" w:themeColor="text1"/>
                <w:sz w:val="28"/>
                <w:highlight w:val="none"/>
                <w14:textFill>
                  <w14:solidFill>
                    <w14:schemeClr w14:val="tx1"/>
                  </w14:solidFill>
                </w14:textFill>
              </w:rPr>
            </w:pPr>
          </w:p>
        </w:tc>
        <w:tc>
          <w:tcPr>
            <w:tcW w:w="3827" w:type="dxa"/>
            <w:noWrap/>
            <w:vAlign w:val="center"/>
          </w:tcPr>
          <w:p w14:paraId="4EE7DA07">
            <w:pPr>
              <w:pStyle w:val="51"/>
              <w:spacing w:line="560" w:lineRule="exact"/>
              <w:jc w:val="center"/>
              <w:rPr>
                <w:rFonts w:eastAsia="仿宋_GB2312"/>
                <w:color w:val="000000" w:themeColor="text1"/>
                <w:sz w:val="28"/>
                <w:highlight w:val="none"/>
                <w14:textFill>
                  <w14:solidFill>
                    <w14:schemeClr w14:val="tx1"/>
                  </w14:solidFill>
                </w14:textFill>
              </w:rPr>
            </w:pPr>
          </w:p>
        </w:tc>
        <w:tc>
          <w:tcPr>
            <w:tcW w:w="2433" w:type="dxa"/>
            <w:noWrap/>
            <w:vAlign w:val="center"/>
          </w:tcPr>
          <w:p w14:paraId="5D3B9C8F">
            <w:pPr>
              <w:pStyle w:val="51"/>
              <w:spacing w:line="560" w:lineRule="exact"/>
              <w:jc w:val="center"/>
              <w:rPr>
                <w:rFonts w:eastAsia="仿宋_GB2312"/>
                <w:color w:val="000000" w:themeColor="text1"/>
                <w:sz w:val="28"/>
                <w:highlight w:val="none"/>
                <w14:textFill>
                  <w14:solidFill>
                    <w14:schemeClr w14:val="tx1"/>
                  </w14:solidFill>
                </w14:textFill>
              </w:rPr>
            </w:pPr>
          </w:p>
        </w:tc>
        <w:tc>
          <w:tcPr>
            <w:tcW w:w="1395" w:type="dxa"/>
            <w:noWrap/>
            <w:vAlign w:val="center"/>
          </w:tcPr>
          <w:p w14:paraId="08605047">
            <w:pPr>
              <w:pStyle w:val="51"/>
              <w:spacing w:line="560" w:lineRule="exact"/>
              <w:jc w:val="center"/>
              <w:rPr>
                <w:rFonts w:eastAsia="仿宋_GB2312"/>
                <w:color w:val="000000" w:themeColor="text1"/>
                <w:sz w:val="28"/>
                <w:highlight w:val="none"/>
                <w14:textFill>
                  <w14:solidFill>
                    <w14:schemeClr w14:val="tx1"/>
                  </w14:solidFill>
                </w14:textFill>
              </w:rPr>
            </w:pPr>
          </w:p>
        </w:tc>
      </w:tr>
      <w:tr w14:paraId="5A2EE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noWrap/>
          </w:tcPr>
          <w:p w14:paraId="0FB732A1">
            <w:pPr>
              <w:pStyle w:val="51"/>
              <w:spacing w:line="560" w:lineRule="exact"/>
              <w:jc w:val="center"/>
              <w:rPr>
                <w:rFonts w:eastAsia="仿宋_GB2312"/>
                <w:color w:val="000000" w:themeColor="text1"/>
                <w:sz w:val="28"/>
                <w:highlight w:val="none"/>
                <w14:textFill>
                  <w14:solidFill>
                    <w14:schemeClr w14:val="tx1"/>
                  </w14:solidFill>
                </w14:textFill>
              </w:rPr>
            </w:pPr>
          </w:p>
        </w:tc>
        <w:tc>
          <w:tcPr>
            <w:tcW w:w="3827" w:type="dxa"/>
            <w:noWrap/>
            <w:vAlign w:val="center"/>
          </w:tcPr>
          <w:p w14:paraId="57F531DA">
            <w:pPr>
              <w:pStyle w:val="51"/>
              <w:spacing w:line="560" w:lineRule="exact"/>
              <w:jc w:val="center"/>
              <w:rPr>
                <w:rFonts w:eastAsia="仿宋_GB2312"/>
                <w:color w:val="000000" w:themeColor="text1"/>
                <w:sz w:val="28"/>
                <w:highlight w:val="none"/>
                <w14:textFill>
                  <w14:solidFill>
                    <w14:schemeClr w14:val="tx1"/>
                  </w14:solidFill>
                </w14:textFill>
              </w:rPr>
            </w:pPr>
          </w:p>
        </w:tc>
        <w:tc>
          <w:tcPr>
            <w:tcW w:w="2433" w:type="dxa"/>
            <w:noWrap/>
            <w:vAlign w:val="center"/>
          </w:tcPr>
          <w:p w14:paraId="0351C765">
            <w:pPr>
              <w:pStyle w:val="51"/>
              <w:spacing w:line="560" w:lineRule="exact"/>
              <w:jc w:val="center"/>
              <w:rPr>
                <w:rFonts w:eastAsia="仿宋_GB2312"/>
                <w:color w:val="000000" w:themeColor="text1"/>
                <w:sz w:val="28"/>
                <w:highlight w:val="none"/>
                <w14:textFill>
                  <w14:solidFill>
                    <w14:schemeClr w14:val="tx1"/>
                  </w14:solidFill>
                </w14:textFill>
              </w:rPr>
            </w:pPr>
          </w:p>
        </w:tc>
        <w:tc>
          <w:tcPr>
            <w:tcW w:w="1395" w:type="dxa"/>
            <w:noWrap/>
            <w:vAlign w:val="center"/>
          </w:tcPr>
          <w:p w14:paraId="58675318">
            <w:pPr>
              <w:pStyle w:val="51"/>
              <w:spacing w:line="560" w:lineRule="exact"/>
              <w:jc w:val="center"/>
              <w:rPr>
                <w:rFonts w:eastAsia="仿宋_GB2312"/>
                <w:color w:val="000000" w:themeColor="text1"/>
                <w:sz w:val="28"/>
                <w:highlight w:val="none"/>
                <w14:textFill>
                  <w14:solidFill>
                    <w14:schemeClr w14:val="tx1"/>
                  </w14:solidFill>
                </w14:textFill>
              </w:rPr>
            </w:pPr>
          </w:p>
        </w:tc>
      </w:tr>
      <w:tr w14:paraId="47780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noWrap/>
          </w:tcPr>
          <w:p w14:paraId="1725D515">
            <w:pPr>
              <w:pStyle w:val="51"/>
              <w:spacing w:line="560" w:lineRule="exact"/>
              <w:jc w:val="center"/>
              <w:rPr>
                <w:rFonts w:eastAsia="仿宋_GB2312"/>
                <w:color w:val="000000" w:themeColor="text1"/>
                <w:sz w:val="28"/>
                <w:highlight w:val="none"/>
                <w14:textFill>
                  <w14:solidFill>
                    <w14:schemeClr w14:val="tx1"/>
                  </w14:solidFill>
                </w14:textFill>
              </w:rPr>
            </w:pPr>
          </w:p>
        </w:tc>
        <w:tc>
          <w:tcPr>
            <w:tcW w:w="3827" w:type="dxa"/>
            <w:noWrap/>
            <w:vAlign w:val="center"/>
          </w:tcPr>
          <w:p w14:paraId="3FE64C3C">
            <w:pPr>
              <w:pStyle w:val="51"/>
              <w:spacing w:line="560" w:lineRule="exact"/>
              <w:jc w:val="center"/>
              <w:rPr>
                <w:rFonts w:eastAsia="仿宋_GB2312"/>
                <w:color w:val="000000" w:themeColor="text1"/>
                <w:sz w:val="28"/>
                <w:highlight w:val="none"/>
                <w14:textFill>
                  <w14:solidFill>
                    <w14:schemeClr w14:val="tx1"/>
                  </w14:solidFill>
                </w14:textFill>
              </w:rPr>
            </w:pPr>
          </w:p>
        </w:tc>
        <w:tc>
          <w:tcPr>
            <w:tcW w:w="2433" w:type="dxa"/>
            <w:noWrap/>
            <w:vAlign w:val="center"/>
          </w:tcPr>
          <w:p w14:paraId="1470E786">
            <w:pPr>
              <w:pStyle w:val="51"/>
              <w:spacing w:line="560" w:lineRule="exact"/>
              <w:jc w:val="center"/>
              <w:rPr>
                <w:rFonts w:eastAsia="仿宋_GB2312"/>
                <w:color w:val="000000" w:themeColor="text1"/>
                <w:sz w:val="28"/>
                <w:highlight w:val="none"/>
                <w14:textFill>
                  <w14:solidFill>
                    <w14:schemeClr w14:val="tx1"/>
                  </w14:solidFill>
                </w14:textFill>
              </w:rPr>
            </w:pPr>
          </w:p>
        </w:tc>
        <w:tc>
          <w:tcPr>
            <w:tcW w:w="1395" w:type="dxa"/>
            <w:noWrap/>
            <w:vAlign w:val="center"/>
          </w:tcPr>
          <w:p w14:paraId="6E6EA598">
            <w:pPr>
              <w:pStyle w:val="51"/>
              <w:spacing w:line="560" w:lineRule="exact"/>
              <w:jc w:val="center"/>
              <w:rPr>
                <w:rFonts w:eastAsia="仿宋_GB2312"/>
                <w:color w:val="000000" w:themeColor="text1"/>
                <w:sz w:val="28"/>
                <w:highlight w:val="none"/>
                <w14:textFill>
                  <w14:solidFill>
                    <w14:schemeClr w14:val="tx1"/>
                  </w14:solidFill>
                </w14:textFill>
              </w:rPr>
            </w:pPr>
          </w:p>
        </w:tc>
      </w:tr>
      <w:tr w14:paraId="1E4EB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jc w:val="center"/>
        </w:trPr>
        <w:tc>
          <w:tcPr>
            <w:tcW w:w="1229" w:type="dxa"/>
            <w:noWrap/>
          </w:tcPr>
          <w:p w14:paraId="5F35455F">
            <w:pPr>
              <w:pStyle w:val="51"/>
              <w:spacing w:line="560" w:lineRule="exact"/>
              <w:jc w:val="center"/>
              <w:rPr>
                <w:rFonts w:eastAsia="仿宋_GB2312"/>
                <w:color w:val="000000" w:themeColor="text1"/>
                <w:sz w:val="28"/>
                <w:highlight w:val="none"/>
                <w14:textFill>
                  <w14:solidFill>
                    <w14:schemeClr w14:val="tx1"/>
                  </w14:solidFill>
                </w14:textFill>
              </w:rPr>
            </w:pPr>
          </w:p>
        </w:tc>
        <w:tc>
          <w:tcPr>
            <w:tcW w:w="3827" w:type="dxa"/>
            <w:noWrap/>
            <w:vAlign w:val="center"/>
          </w:tcPr>
          <w:p w14:paraId="2DA9415C">
            <w:pPr>
              <w:pStyle w:val="51"/>
              <w:spacing w:line="560" w:lineRule="exact"/>
              <w:jc w:val="center"/>
              <w:rPr>
                <w:rFonts w:eastAsia="仿宋_GB2312"/>
                <w:color w:val="000000" w:themeColor="text1"/>
                <w:sz w:val="28"/>
                <w:highlight w:val="none"/>
                <w14:textFill>
                  <w14:solidFill>
                    <w14:schemeClr w14:val="tx1"/>
                  </w14:solidFill>
                </w14:textFill>
              </w:rPr>
            </w:pPr>
          </w:p>
        </w:tc>
        <w:tc>
          <w:tcPr>
            <w:tcW w:w="2433" w:type="dxa"/>
            <w:noWrap/>
            <w:vAlign w:val="center"/>
          </w:tcPr>
          <w:p w14:paraId="494FDF7A">
            <w:pPr>
              <w:pStyle w:val="51"/>
              <w:spacing w:line="560" w:lineRule="exact"/>
              <w:jc w:val="center"/>
              <w:rPr>
                <w:rFonts w:eastAsia="仿宋_GB2312"/>
                <w:color w:val="000000" w:themeColor="text1"/>
                <w:sz w:val="28"/>
                <w:highlight w:val="none"/>
                <w14:textFill>
                  <w14:solidFill>
                    <w14:schemeClr w14:val="tx1"/>
                  </w14:solidFill>
                </w14:textFill>
              </w:rPr>
            </w:pPr>
          </w:p>
        </w:tc>
        <w:tc>
          <w:tcPr>
            <w:tcW w:w="1395" w:type="dxa"/>
            <w:noWrap/>
            <w:vAlign w:val="center"/>
          </w:tcPr>
          <w:p w14:paraId="5FEC8611">
            <w:pPr>
              <w:pStyle w:val="51"/>
              <w:spacing w:line="560" w:lineRule="exact"/>
              <w:jc w:val="center"/>
              <w:rPr>
                <w:rFonts w:eastAsia="仿宋_GB2312"/>
                <w:color w:val="000000" w:themeColor="text1"/>
                <w:sz w:val="28"/>
                <w:highlight w:val="none"/>
                <w14:textFill>
                  <w14:solidFill>
                    <w14:schemeClr w14:val="tx1"/>
                  </w14:solidFill>
                </w14:textFill>
              </w:rPr>
            </w:pPr>
          </w:p>
        </w:tc>
      </w:tr>
    </w:tbl>
    <w:p w14:paraId="613DD8F5">
      <w:pPr>
        <w:pStyle w:val="50"/>
        <w:rPr>
          <w:rFonts w:ascii="Times New Roman" w:hAnsi="Times New Roman"/>
          <w:color w:val="000000" w:themeColor="text1"/>
          <w:highlight w:val="none"/>
          <w14:textFill>
            <w14:solidFill>
              <w14:schemeClr w14:val="tx1"/>
            </w14:solidFill>
          </w14:textFill>
        </w:rPr>
      </w:pPr>
      <w:r>
        <w:rPr>
          <w:rFonts w:hint="eastAsia" w:ascii="Times New Roman" w:hAnsi="Times New Roman" w:eastAsia="仿宋_GB2312"/>
          <w:b/>
          <w:color w:val="000000" w:themeColor="text1"/>
          <w:sz w:val="24"/>
          <w:highlight w:val="none"/>
          <w14:textFill>
            <w14:solidFill>
              <w14:schemeClr w14:val="tx1"/>
            </w14:solidFill>
          </w14:textFill>
        </w:rPr>
        <w:t>注：请填写此表，并按要求上传业绩资料电子件。</w:t>
      </w:r>
    </w:p>
    <w:p w14:paraId="2FC61ACA">
      <w:pPr>
        <w:rPr>
          <w:rFonts w:eastAsia="黑体"/>
          <w:b/>
          <w:color w:val="000000" w:themeColor="text1"/>
          <w:sz w:val="32"/>
          <w:szCs w:val="32"/>
          <w:highlight w:val="none"/>
          <w14:textFill>
            <w14:solidFill>
              <w14:schemeClr w14:val="tx1"/>
            </w14:solidFill>
          </w14:textFill>
        </w:rPr>
      </w:pPr>
    </w:p>
    <w:p w14:paraId="56631B3F">
      <w:pPr>
        <w:rPr>
          <w:rFonts w:eastAsia="黑体"/>
          <w:b/>
          <w:color w:val="000000" w:themeColor="text1"/>
          <w:sz w:val="32"/>
          <w:szCs w:val="32"/>
          <w:highlight w:val="none"/>
          <w14:textFill>
            <w14:solidFill>
              <w14:schemeClr w14:val="tx1"/>
            </w14:solidFill>
          </w14:textFill>
        </w:rPr>
      </w:pPr>
    </w:p>
    <w:p w14:paraId="195394AC">
      <w:pPr>
        <w:rPr>
          <w:rFonts w:eastAsia="黑体"/>
          <w:b/>
          <w:color w:val="000000" w:themeColor="text1"/>
          <w:sz w:val="32"/>
          <w:szCs w:val="32"/>
          <w:highlight w:val="none"/>
          <w14:textFill>
            <w14:solidFill>
              <w14:schemeClr w14:val="tx1"/>
            </w14:solidFill>
          </w14:textFill>
        </w:rPr>
      </w:pPr>
    </w:p>
    <w:p w14:paraId="4A156793">
      <w:pPr>
        <w:rPr>
          <w:rFonts w:eastAsia="黑体"/>
          <w:b/>
          <w:color w:val="000000" w:themeColor="text1"/>
          <w:sz w:val="32"/>
          <w:szCs w:val="32"/>
          <w:highlight w:val="none"/>
          <w14:textFill>
            <w14:solidFill>
              <w14:schemeClr w14:val="tx1"/>
            </w14:solidFill>
          </w14:textFill>
        </w:rPr>
      </w:pPr>
    </w:p>
    <w:p w14:paraId="3323C7C6">
      <w:pPr>
        <w:rPr>
          <w:rFonts w:eastAsia="黑体"/>
          <w:b/>
          <w:color w:val="000000" w:themeColor="text1"/>
          <w:sz w:val="32"/>
          <w:szCs w:val="32"/>
          <w:highlight w:val="none"/>
          <w14:textFill>
            <w14:solidFill>
              <w14:schemeClr w14:val="tx1"/>
            </w14:solidFill>
          </w14:textFill>
        </w:rPr>
      </w:pPr>
    </w:p>
    <w:p w14:paraId="6DAD5CF3">
      <w:pPr>
        <w:rPr>
          <w:rFonts w:eastAsia="黑体"/>
          <w:b/>
          <w:color w:val="000000" w:themeColor="text1"/>
          <w:sz w:val="32"/>
          <w:szCs w:val="32"/>
          <w:highlight w:val="none"/>
          <w14:textFill>
            <w14:solidFill>
              <w14:schemeClr w14:val="tx1"/>
            </w14:solidFill>
          </w14:textFill>
        </w:rPr>
      </w:pPr>
    </w:p>
    <w:p w14:paraId="654B9C6B">
      <w:pPr>
        <w:rPr>
          <w:rFonts w:eastAsia="黑体"/>
          <w:b/>
          <w:color w:val="000000" w:themeColor="text1"/>
          <w:sz w:val="32"/>
          <w:szCs w:val="32"/>
          <w:highlight w:val="none"/>
          <w14:textFill>
            <w14:solidFill>
              <w14:schemeClr w14:val="tx1"/>
            </w14:solidFill>
          </w14:textFill>
        </w:rPr>
      </w:pPr>
    </w:p>
    <w:p w14:paraId="0D0B8940">
      <w:pPr>
        <w:rPr>
          <w:rFonts w:eastAsia="黑体"/>
          <w:b/>
          <w:color w:val="000000" w:themeColor="text1"/>
          <w:sz w:val="32"/>
          <w:szCs w:val="32"/>
          <w:highlight w:val="none"/>
          <w14:textFill>
            <w14:solidFill>
              <w14:schemeClr w14:val="tx1"/>
            </w14:solidFill>
          </w14:textFill>
        </w:rPr>
      </w:pPr>
    </w:p>
    <w:p w14:paraId="4E467D91">
      <w:pPr>
        <w:rPr>
          <w:rFonts w:eastAsia="黑体"/>
          <w:b/>
          <w:color w:val="000000" w:themeColor="text1"/>
          <w:sz w:val="32"/>
          <w:szCs w:val="32"/>
          <w:highlight w:val="none"/>
          <w14:textFill>
            <w14:solidFill>
              <w14:schemeClr w14:val="tx1"/>
            </w14:solidFill>
          </w14:textFill>
        </w:rPr>
      </w:pPr>
    </w:p>
    <w:p w14:paraId="17009358">
      <w:pPr>
        <w:rPr>
          <w:rFonts w:eastAsia="黑体"/>
          <w:b/>
          <w:color w:val="000000" w:themeColor="text1"/>
          <w:sz w:val="32"/>
          <w:szCs w:val="32"/>
          <w:highlight w:val="none"/>
          <w14:textFill>
            <w14:solidFill>
              <w14:schemeClr w14:val="tx1"/>
            </w14:solidFill>
          </w14:textFill>
        </w:rPr>
      </w:pPr>
    </w:p>
    <w:p w14:paraId="1F2DC359">
      <w:pPr>
        <w:rPr>
          <w:rFonts w:eastAsia="黑体"/>
          <w:b/>
          <w:color w:val="000000" w:themeColor="text1"/>
          <w:sz w:val="32"/>
          <w:szCs w:val="32"/>
          <w:highlight w:val="none"/>
          <w14:textFill>
            <w14:solidFill>
              <w14:schemeClr w14:val="tx1"/>
            </w14:solidFill>
          </w14:textFill>
        </w:rPr>
      </w:pPr>
    </w:p>
    <w:p w14:paraId="525CE176">
      <w:pPr>
        <w:rPr>
          <w:rFonts w:eastAsia="黑体"/>
          <w:b/>
          <w:color w:val="000000" w:themeColor="text1"/>
          <w:sz w:val="32"/>
          <w:szCs w:val="32"/>
          <w:highlight w:val="none"/>
          <w14:textFill>
            <w14:solidFill>
              <w14:schemeClr w14:val="tx1"/>
            </w14:solidFill>
          </w14:textFill>
        </w:rPr>
      </w:pPr>
    </w:p>
    <w:p w14:paraId="23E27EA3">
      <w:pPr>
        <w:rPr>
          <w:rFonts w:eastAsia="黑体"/>
          <w:b/>
          <w:color w:val="000000" w:themeColor="text1"/>
          <w:sz w:val="32"/>
          <w:szCs w:val="32"/>
          <w:highlight w:val="none"/>
          <w14:textFill>
            <w14:solidFill>
              <w14:schemeClr w14:val="tx1"/>
            </w14:solidFill>
          </w14:textFill>
        </w:rPr>
      </w:pPr>
    </w:p>
    <w:p w14:paraId="13B02C4C">
      <w:pPr>
        <w:rPr>
          <w:rFonts w:eastAsia="黑体"/>
          <w:b/>
          <w:color w:val="000000" w:themeColor="text1"/>
          <w:sz w:val="32"/>
          <w:szCs w:val="32"/>
          <w:highlight w:val="none"/>
          <w14:textFill>
            <w14:solidFill>
              <w14:schemeClr w14:val="tx1"/>
            </w14:solidFill>
          </w14:textFill>
        </w:rPr>
      </w:pPr>
    </w:p>
    <w:p w14:paraId="4D88AF47">
      <w:pPr>
        <w:rPr>
          <w:rFonts w:eastAsia="黑体"/>
          <w:b/>
          <w:color w:val="000000" w:themeColor="text1"/>
          <w:sz w:val="32"/>
          <w:szCs w:val="32"/>
          <w:highlight w:val="none"/>
          <w14:textFill>
            <w14:solidFill>
              <w14:schemeClr w14:val="tx1"/>
            </w14:solidFill>
          </w14:textFill>
        </w:rPr>
      </w:pPr>
    </w:p>
    <w:p w14:paraId="408EBE25">
      <w:pPr>
        <w:pStyle w:val="52"/>
        <w:outlineLvl w:val="1"/>
        <w:rPr>
          <w:rFonts w:ascii="Times New Roman" w:hAnsi="Times New Roman"/>
          <w:color w:val="000000" w:themeColor="text1"/>
          <w:highlight w:val="none"/>
          <w14:textFill>
            <w14:solidFill>
              <w14:schemeClr w14:val="tx1"/>
            </w14:solidFill>
          </w14:textFill>
        </w:rPr>
      </w:pPr>
      <w:bookmarkStart w:id="257" w:name="_Toc28140"/>
      <w:r>
        <w:rPr>
          <w:rFonts w:hint="eastAsia" w:ascii="Times New Roman" w:hAnsi="Times New Roman"/>
          <w:color w:val="000000" w:themeColor="text1"/>
          <w:highlight w:val="none"/>
          <w14:textFill>
            <w14:solidFill>
              <w14:schemeClr w14:val="tx1"/>
            </w14:solidFill>
          </w14:textFill>
        </w:rPr>
        <w:t>十二</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磋商</w:t>
      </w:r>
      <w:r>
        <w:rPr>
          <w:rFonts w:ascii="Times New Roman" w:hAnsi="Times New Roman"/>
          <w:color w:val="000000" w:themeColor="text1"/>
          <w:highlight w:val="none"/>
          <w14:textFill>
            <w14:solidFill>
              <w14:schemeClr w14:val="tx1"/>
            </w14:solidFill>
          </w14:textFill>
        </w:rPr>
        <w:t>所需其他材料</w:t>
      </w:r>
      <w:bookmarkEnd w:id="257"/>
    </w:p>
    <w:p w14:paraId="566C8E07">
      <w:pPr>
        <w:pStyle w:val="53"/>
        <w:spacing w:line="360" w:lineRule="auto"/>
        <w:ind w:firstLine="56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请在此文档中增加磋商所需其他相关内容（包括资格要求、评分办法、采购需求中涉及的证件证明及其它供应商认为有必要提供的资料），如没有请将此空文档上传。</w:t>
      </w:r>
    </w:p>
    <w:p w14:paraId="1C7C456F">
      <w:pPr>
        <w:jc w:val="center"/>
        <w:rPr>
          <w:rFonts w:cs="仿宋"/>
          <w:b/>
          <w:bCs/>
          <w:color w:val="000000" w:themeColor="text1"/>
          <w:sz w:val="32"/>
          <w:szCs w:val="32"/>
          <w:highlight w:val="none"/>
          <w14:textFill>
            <w14:solidFill>
              <w14:schemeClr w14:val="tx1"/>
            </w14:solidFill>
          </w14:textFill>
        </w:rPr>
      </w:pPr>
    </w:p>
    <w:p w14:paraId="4C65C1A8">
      <w:pPr>
        <w:jc w:val="center"/>
        <w:rPr>
          <w:rFonts w:cs="仿宋"/>
          <w:b/>
          <w:bCs/>
          <w:color w:val="000000" w:themeColor="text1"/>
          <w:sz w:val="32"/>
          <w:szCs w:val="32"/>
          <w:highlight w:val="none"/>
          <w14:textFill>
            <w14:solidFill>
              <w14:schemeClr w14:val="tx1"/>
            </w14:solidFill>
          </w14:textFill>
        </w:rPr>
      </w:pPr>
      <w:r>
        <w:rPr>
          <w:rFonts w:hint="eastAsia" w:cs="仿宋"/>
          <w:b/>
          <w:bCs/>
          <w:color w:val="000000" w:themeColor="text1"/>
          <w:sz w:val="32"/>
          <w:szCs w:val="32"/>
          <w:highlight w:val="none"/>
          <w14:textFill>
            <w14:solidFill>
              <w14:schemeClr w14:val="tx1"/>
            </w14:solidFill>
          </w14:textFill>
        </w:rPr>
        <w:t>承诺函（格式自拟）</w:t>
      </w:r>
      <w:r>
        <w:rPr>
          <w:rFonts w:hint="eastAsia" w:cs="仿宋"/>
          <w:b/>
          <w:bCs/>
          <w:color w:val="000000" w:themeColor="text1"/>
          <w:sz w:val="32"/>
          <w:szCs w:val="32"/>
          <w:highlight w:val="none"/>
          <w14:textFill>
            <w14:solidFill>
              <w14:schemeClr w14:val="tx1"/>
            </w14:solidFill>
          </w14:textFill>
        </w:rPr>
        <w:br w:type="page" w:clear="all"/>
      </w:r>
      <w:r>
        <w:rPr>
          <w:rFonts w:hint="eastAsia" w:cs="仿宋"/>
          <w:b/>
          <w:bCs/>
          <w:color w:val="000000" w:themeColor="text1"/>
          <w:sz w:val="32"/>
          <w:szCs w:val="32"/>
          <w:highlight w:val="none"/>
          <w14:textFill>
            <w14:solidFill>
              <w14:schemeClr w14:val="tx1"/>
            </w14:solidFill>
          </w14:textFill>
        </w:rPr>
        <w:t>质疑函范本</w:t>
      </w:r>
    </w:p>
    <w:p w14:paraId="26131193">
      <w:pPr>
        <w:spacing w:before="290" w:line="360" w:lineRule="auto"/>
        <w:outlineLvl w:val="1"/>
        <w:rPr>
          <w:rFonts w:cs="仿宋"/>
          <w:bCs/>
          <w:color w:val="000000" w:themeColor="text1"/>
          <w:sz w:val="24"/>
          <w:szCs w:val="24"/>
          <w:highlight w:val="none"/>
          <w14:textFill>
            <w14:solidFill>
              <w14:schemeClr w14:val="tx1"/>
            </w14:solidFill>
          </w14:textFill>
        </w:rPr>
      </w:pPr>
      <w:r>
        <w:rPr>
          <w:rFonts w:hint="eastAsia" w:cs="仿宋"/>
          <w:bCs/>
          <w:color w:val="000000" w:themeColor="text1"/>
          <w:sz w:val="24"/>
          <w:szCs w:val="24"/>
          <w:highlight w:val="none"/>
          <w14:textFill>
            <w14:solidFill>
              <w14:schemeClr w14:val="tx1"/>
            </w14:solidFill>
          </w14:textFill>
        </w:rPr>
        <w:t>一、质疑供应商基本信息</w:t>
      </w:r>
    </w:p>
    <w:p w14:paraId="7AB36604">
      <w:pPr>
        <w:spacing w:line="360" w:lineRule="auto"/>
        <w:rPr>
          <w:rFonts w:cs="仿宋"/>
          <w:color w:val="000000" w:themeColor="text1"/>
          <w:sz w:val="24"/>
          <w:szCs w:val="24"/>
          <w:highlight w:val="none"/>
          <w:u w:val="singl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质疑供应商：</w:t>
      </w:r>
    </w:p>
    <w:p w14:paraId="41233F3E">
      <w:pPr>
        <w:spacing w:line="360" w:lineRule="auto"/>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地址：邮编：</w:t>
      </w:r>
    </w:p>
    <w:p w14:paraId="591C8A77">
      <w:pPr>
        <w:spacing w:line="360" w:lineRule="auto"/>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联系人：联系电话：</w:t>
      </w:r>
    </w:p>
    <w:p w14:paraId="5EC15059">
      <w:pPr>
        <w:spacing w:line="360" w:lineRule="auto"/>
        <w:rPr>
          <w:rFonts w:cs="仿宋"/>
          <w:color w:val="000000" w:themeColor="text1"/>
          <w:sz w:val="24"/>
          <w:szCs w:val="24"/>
          <w:highlight w:val="none"/>
          <w:u w:val="singl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授权代表：</w:t>
      </w:r>
    </w:p>
    <w:p w14:paraId="385FCAD2">
      <w:pPr>
        <w:spacing w:line="360" w:lineRule="auto"/>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联系电话：</w:t>
      </w:r>
    </w:p>
    <w:p w14:paraId="017BED49">
      <w:pPr>
        <w:spacing w:line="360" w:lineRule="auto"/>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地址：邮编：</w:t>
      </w:r>
    </w:p>
    <w:p w14:paraId="1E5E1B73">
      <w:pPr>
        <w:spacing w:line="360" w:lineRule="auto"/>
        <w:outlineLvl w:val="1"/>
        <w:rPr>
          <w:rFonts w:cs="仿宋"/>
          <w:bCs/>
          <w:color w:val="000000" w:themeColor="text1"/>
          <w:sz w:val="24"/>
          <w:szCs w:val="24"/>
          <w:highlight w:val="none"/>
          <w14:textFill>
            <w14:solidFill>
              <w14:schemeClr w14:val="tx1"/>
            </w14:solidFill>
          </w14:textFill>
        </w:rPr>
      </w:pPr>
      <w:r>
        <w:rPr>
          <w:rFonts w:hint="eastAsia" w:cs="仿宋"/>
          <w:bCs/>
          <w:color w:val="000000" w:themeColor="text1"/>
          <w:sz w:val="24"/>
          <w:szCs w:val="24"/>
          <w:highlight w:val="none"/>
          <w14:textFill>
            <w14:solidFill>
              <w14:schemeClr w14:val="tx1"/>
            </w14:solidFill>
          </w14:textFill>
        </w:rPr>
        <w:t>二、质疑项目基本情况</w:t>
      </w:r>
    </w:p>
    <w:p w14:paraId="2D733D11">
      <w:pPr>
        <w:spacing w:line="360" w:lineRule="auto"/>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质疑项目的名称：</w:t>
      </w:r>
    </w:p>
    <w:p w14:paraId="0FD97F23">
      <w:pPr>
        <w:spacing w:line="360" w:lineRule="auto"/>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质疑项目的编号：包号：</w:t>
      </w:r>
    </w:p>
    <w:p w14:paraId="3991120F">
      <w:pPr>
        <w:spacing w:line="360" w:lineRule="auto"/>
        <w:rPr>
          <w:rFonts w:cs="仿宋"/>
          <w:color w:val="000000" w:themeColor="text1"/>
          <w:sz w:val="24"/>
          <w:szCs w:val="24"/>
          <w:highlight w:val="none"/>
          <w:u w:val="singl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采购人名称：</w:t>
      </w:r>
    </w:p>
    <w:p w14:paraId="32873FC5">
      <w:pPr>
        <w:spacing w:line="360" w:lineRule="auto"/>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采购文件获取日期：</w:t>
      </w:r>
    </w:p>
    <w:p w14:paraId="392FF406">
      <w:pPr>
        <w:spacing w:line="360" w:lineRule="auto"/>
        <w:outlineLvl w:val="1"/>
        <w:rPr>
          <w:rFonts w:cs="仿宋"/>
          <w:bCs/>
          <w:color w:val="000000" w:themeColor="text1"/>
          <w:sz w:val="24"/>
          <w:szCs w:val="24"/>
          <w:highlight w:val="none"/>
          <w14:textFill>
            <w14:solidFill>
              <w14:schemeClr w14:val="tx1"/>
            </w14:solidFill>
          </w14:textFill>
        </w:rPr>
      </w:pPr>
      <w:r>
        <w:rPr>
          <w:rFonts w:hint="eastAsia" w:cs="仿宋"/>
          <w:bCs/>
          <w:color w:val="000000" w:themeColor="text1"/>
          <w:sz w:val="24"/>
          <w:szCs w:val="24"/>
          <w:highlight w:val="none"/>
          <w14:textFill>
            <w14:solidFill>
              <w14:schemeClr w14:val="tx1"/>
            </w14:solidFill>
          </w14:textFill>
        </w:rPr>
        <w:t>三、质疑事项具体内容</w:t>
      </w:r>
    </w:p>
    <w:p w14:paraId="28C22E53">
      <w:pPr>
        <w:spacing w:line="360" w:lineRule="auto"/>
        <w:rPr>
          <w:rFonts w:cs="仿宋"/>
          <w:color w:val="000000" w:themeColor="text1"/>
          <w:sz w:val="24"/>
          <w:szCs w:val="24"/>
          <w:highlight w:val="none"/>
          <w:u w:val="singl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质疑事项1：</w:t>
      </w:r>
    </w:p>
    <w:p w14:paraId="594BCF17">
      <w:pPr>
        <w:spacing w:line="360" w:lineRule="auto"/>
        <w:rPr>
          <w:rFonts w:cs="仿宋"/>
          <w:color w:val="000000" w:themeColor="text1"/>
          <w:sz w:val="24"/>
          <w:szCs w:val="24"/>
          <w:highlight w:val="none"/>
          <w:u w:val="singl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事实依据：</w:t>
      </w:r>
    </w:p>
    <w:p w14:paraId="3EFC1E39">
      <w:pPr>
        <w:spacing w:line="360" w:lineRule="auto"/>
        <w:rPr>
          <w:rFonts w:cs="仿宋"/>
          <w:color w:val="000000" w:themeColor="text1"/>
          <w:sz w:val="24"/>
          <w:szCs w:val="24"/>
          <w:highlight w:val="none"/>
          <w14:textFill>
            <w14:solidFill>
              <w14:schemeClr w14:val="tx1"/>
            </w14:solidFill>
          </w14:textFill>
        </w:rPr>
      </w:pPr>
    </w:p>
    <w:p w14:paraId="0CFE13CF">
      <w:pPr>
        <w:spacing w:line="360" w:lineRule="auto"/>
        <w:rPr>
          <w:rFonts w:cs="仿宋"/>
          <w:color w:val="000000" w:themeColor="text1"/>
          <w:sz w:val="24"/>
          <w:szCs w:val="24"/>
          <w:highlight w:val="none"/>
          <w:u w:val="singl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法律依据：</w:t>
      </w:r>
    </w:p>
    <w:p w14:paraId="322120EA">
      <w:pPr>
        <w:spacing w:line="360" w:lineRule="auto"/>
        <w:rPr>
          <w:rFonts w:cs="仿宋"/>
          <w:color w:val="000000" w:themeColor="text1"/>
          <w:sz w:val="24"/>
          <w:szCs w:val="24"/>
          <w:highlight w:val="none"/>
          <w:u w:val="single"/>
          <w14:textFill>
            <w14:solidFill>
              <w14:schemeClr w14:val="tx1"/>
            </w14:solidFill>
          </w14:textFill>
        </w:rPr>
      </w:pPr>
    </w:p>
    <w:p w14:paraId="4FC70F92">
      <w:pPr>
        <w:spacing w:line="360" w:lineRule="auto"/>
        <w:rPr>
          <w:rFonts w:cs="仿宋"/>
          <w:color w:val="000000" w:themeColor="text1"/>
          <w:sz w:val="24"/>
          <w:szCs w:val="24"/>
          <w:highlight w:val="none"/>
          <w:u w:val="singl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质疑事项2</w:t>
      </w:r>
    </w:p>
    <w:p w14:paraId="577444FC">
      <w:pPr>
        <w:spacing w:line="360" w:lineRule="auto"/>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w:t>
      </w:r>
    </w:p>
    <w:p w14:paraId="32AA38B1">
      <w:pPr>
        <w:spacing w:line="360" w:lineRule="auto"/>
        <w:outlineLvl w:val="1"/>
        <w:rPr>
          <w:rFonts w:cs="仿宋"/>
          <w:bCs/>
          <w:color w:val="000000" w:themeColor="text1"/>
          <w:sz w:val="24"/>
          <w:szCs w:val="24"/>
          <w:highlight w:val="none"/>
          <w14:textFill>
            <w14:solidFill>
              <w14:schemeClr w14:val="tx1"/>
            </w14:solidFill>
          </w14:textFill>
        </w:rPr>
      </w:pPr>
      <w:r>
        <w:rPr>
          <w:rFonts w:hint="eastAsia" w:cs="仿宋"/>
          <w:bCs/>
          <w:color w:val="000000" w:themeColor="text1"/>
          <w:sz w:val="24"/>
          <w:szCs w:val="24"/>
          <w:highlight w:val="none"/>
          <w14:textFill>
            <w14:solidFill>
              <w14:schemeClr w14:val="tx1"/>
            </w14:solidFill>
          </w14:textFill>
        </w:rPr>
        <w:t>四、与质疑事项相关的质疑请求</w:t>
      </w:r>
    </w:p>
    <w:p w14:paraId="5CB682B2">
      <w:pPr>
        <w:spacing w:line="360" w:lineRule="auto"/>
        <w:rPr>
          <w:rFonts w:cs="仿宋"/>
          <w:color w:val="000000" w:themeColor="text1"/>
          <w:sz w:val="24"/>
          <w:szCs w:val="24"/>
          <w:highlight w:val="none"/>
          <w:u w:val="singl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请求：</w:t>
      </w:r>
    </w:p>
    <w:p w14:paraId="03B4976F">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签字（签章）：                   公章：                      </w:t>
      </w:r>
    </w:p>
    <w:p w14:paraId="23C7515F">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日期：    </w:t>
      </w:r>
    </w:p>
    <w:p w14:paraId="4340D646">
      <w:pPr>
        <w:spacing w:line="400" w:lineRule="exact"/>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质疑函制作说明：</w:t>
      </w:r>
    </w:p>
    <w:p w14:paraId="78DEEDB8">
      <w:pPr>
        <w:widowControl/>
        <w:spacing w:line="400" w:lineRule="exact"/>
        <w:ind w:firstLine="480"/>
        <w:jc w:val="left"/>
        <w:outlineLvl w:val="2"/>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1.供应商提出质疑时，应提交质疑函和必要的证明材料。</w:t>
      </w:r>
    </w:p>
    <w:p w14:paraId="060B726C">
      <w:pPr>
        <w:widowControl/>
        <w:spacing w:line="400" w:lineRule="exact"/>
        <w:ind w:firstLine="48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w:t>
      </w:r>
      <w:r>
        <w:rPr>
          <w:rFonts w:hint="eastAsia" w:cs="宋体"/>
          <w:color w:val="000000" w:themeColor="text1"/>
          <w:sz w:val="24"/>
          <w:szCs w:val="24"/>
          <w:highlight w:val="none"/>
          <w14:textFill>
            <w14:solidFill>
              <w14:schemeClr w14:val="tx1"/>
            </w14:solidFill>
          </w14:textFill>
        </w:rPr>
        <w:t>供应商签署的授权委托书。授权委托书应载明代理人的姓名或者名称、代理事项、具体权限、期限和相关事项。</w:t>
      </w:r>
    </w:p>
    <w:p w14:paraId="4DB10760">
      <w:pPr>
        <w:widowControl/>
        <w:spacing w:line="400" w:lineRule="exact"/>
        <w:ind w:firstLine="48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3.质疑供应商若对项目的某一分包进行质疑，质疑函中应列明具体分包号。</w:t>
      </w:r>
    </w:p>
    <w:p w14:paraId="592C16AE">
      <w:pPr>
        <w:widowControl/>
        <w:spacing w:line="400" w:lineRule="exact"/>
        <w:ind w:firstLine="48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4.质疑函的质疑事项应具体、明确，并有必要的事实依据和法律依据。</w:t>
      </w:r>
    </w:p>
    <w:p w14:paraId="644E7D8E">
      <w:pPr>
        <w:widowControl/>
        <w:spacing w:line="400" w:lineRule="exact"/>
        <w:ind w:firstLine="480"/>
        <w:jc w:val="left"/>
        <w:outlineLvl w:val="2"/>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5.质疑函的质疑请求应与质疑事项相关。</w:t>
      </w:r>
    </w:p>
    <w:p w14:paraId="26A29BB6">
      <w:pPr>
        <w:widowControl/>
        <w:spacing w:line="400" w:lineRule="exact"/>
        <w:ind w:firstLine="48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AEC32D9">
      <w:pPr>
        <w:ind w:firstLine="420"/>
        <w:rPr>
          <w:color w:val="000000" w:themeColor="text1"/>
          <w:sz w:val="24"/>
          <w:szCs w:val="24"/>
          <w:highlight w:val="none"/>
          <w14:textFill>
            <w14:solidFill>
              <w14:schemeClr w14:val="tx1"/>
            </w14:solidFill>
          </w14:textFill>
        </w:rPr>
      </w:pPr>
    </w:p>
    <w:p w14:paraId="1093D051">
      <w:pPr>
        <w:ind w:firstLine="420"/>
        <w:rPr>
          <w:color w:val="000000" w:themeColor="text1"/>
          <w:sz w:val="24"/>
          <w:szCs w:val="24"/>
          <w:highlight w:val="none"/>
          <w14:textFill>
            <w14:solidFill>
              <w14:schemeClr w14:val="tx1"/>
            </w14:solidFill>
          </w14:textFill>
        </w:rPr>
      </w:pPr>
    </w:p>
    <w:p w14:paraId="6758CBBE">
      <w:pPr>
        <w:rPr>
          <w:color w:val="000000" w:themeColor="text1"/>
          <w:highlight w:val="none"/>
          <w14:textFill>
            <w14:solidFill>
              <w14:schemeClr w14:val="tx1"/>
            </w14:solidFill>
          </w14:textFill>
        </w:rPr>
      </w:pPr>
    </w:p>
    <w:sectPr>
      <w:pgSz w:w="11906" w:h="16838"/>
      <w:pgMar w:top="1440" w:right="1080" w:bottom="1440" w:left="1080" w:header="851" w:footer="907" w:gutter="0"/>
      <w:pgNumType w:fmt="decimal"/>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8E178">
    <w:pPr>
      <w:pStyle w:val="5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C48A0">
    <w:pPr>
      <w:pStyle w:val="55"/>
      <w:framePr w:wrap="around" w:vAnchor="text" w:hAnchor="margin" w:xAlign="center" w:y="1"/>
      <w:rPr>
        <w:rStyle w:val="56"/>
      </w:rPr>
    </w:pPr>
    <w:r>
      <w:fldChar w:fldCharType="begin"/>
    </w:r>
    <w:r>
      <w:rPr>
        <w:rStyle w:val="56"/>
      </w:rPr>
      <w:instrText xml:space="preserve">PAGE  </w:instrText>
    </w:r>
    <w:r>
      <w:fldChar w:fldCharType="separate"/>
    </w:r>
    <w:r>
      <w:rPr>
        <w:rStyle w:val="56"/>
      </w:rPr>
      <w:t>1</w:t>
    </w:r>
    <w:r>
      <w:fldChar w:fldCharType="end"/>
    </w:r>
  </w:p>
  <w:p w14:paraId="71146133">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113C">
    <w:pPr>
      <w:pStyle w:val="55"/>
      <w:jc w:val="center"/>
      <w:rPr>
        <w:b/>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2BD1">
    <w:pPr>
      <w:pStyle w:val="5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71578">
    <w:pPr>
      <w:pStyle w:val="55"/>
      <w:jc w:val="center"/>
      <w:rPr>
        <w:b/>
        <w:i/>
      </w:rPr>
    </w:pPr>
    <w:r>
      <w:rPr>
        <w:sz w:val="18"/>
      </w:rP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D581402">
                <w:pPr>
                  <w:pStyle w:val="9"/>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46D64">
    <w:pPr>
      <w:snapToGrid w:val="0"/>
      <w:jc w:val="center"/>
      <w:rPr>
        <w:rFonts w:ascii="Calibri" w:hAnsi="Calibri"/>
        <w:sz w:val="18"/>
        <w:szCs w:val="18"/>
      </w:rPr>
    </w:pPr>
    <w:r>
      <w:rPr>
        <w:sz w:val="18"/>
      </w:rPr>
      <w:pict>
        <v:shape id="_x0000_s4103" o:spid="_x0000_s410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C3F3529">
                <w:pPr>
                  <w:pStyle w:val="9"/>
                </w:pPr>
                <w:r>
                  <w:fldChar w:fldCharType="begin"/>
                </w:r>
                <w:r>
                  <w:instrText xml:space="preserve"> PAGE  \* MERGEFORMAT </w:instrText>
                </w:r>
                <w:r>
                  <w:fldChar w:fldCharType="separate"/>
                </w:r>
                <w:r>
                  <w:t>21</w:t>
                </w:r>
                <w:r>
                  <w:fldChar w:fldCharType="end"/>
                </w:r>
              </w:p>
            </w:txbxContent>
          </v:textbox>
        </v:shape>
      </w:pict>
    </w:r>
  </w:p>
  <w:p w14:paraId="0AA3D96C">
    <w:pPr>
      <w:tabs>
        <w:tab w:val="left" w:pos="1129"/>
      </w:tabs>
      <w:snapToGrid w:val="0"/>
      <w:rPr>
        <w:rFonts w:ascii="Calibri" w:hAnsi="Calibr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1B4BC">
    <w:pPr>
      <w:snapToGrid w:val="0"/>
      <w:jc w:val="center"/>
      <w:rPr>
        <w:rFonts w:ascii="Calibri" w:hAnsi="Calibri"/>
        <w:sz w:val="18"/>
        <w:szCs w:val="18"/>
      </w:rPr>
    </w:pPr>
    <w:r>
      <w:rPr>
        <w:sz w:val="18"/>
      </w:rPr>
      <w:pict>
        <v:shape id="_x0000_s4104" o:spid="_x0000_s410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A341443">
                <w:pPr>
                  <w:pStyle w:val="9"/>
                </w:pPr>
                <w:r>
                  <w:fldChar w:fldCharType="begin"/>
                </w:r>
                <w:r>
                  <w:instrText xml:space="preserve"> PAGE  \* MERGEFORMAT </w:instrText>
                </w:r>
                <w:r>
                  <w:fldChar w:fldCharType="separate"/>
                </w:r>
                <w:r>
                  <w:t>38</w:t>
                </w:r>
                <w:r>
                  <w:fldChar w:fldCharType="end"/>
                </w:r>
              </w:p>
            </w:txbxContent>
          </v:textbox>
        </v:shape>
      </w:pict>
    </w:r>
  </w:p>
  <w:p w14:paraId="07DC5C32">
    <w:pPr>
      <w:tabs>
        <w:tab w:val="left" w:pos="1129"/>
      </w:tabs>
      <w:snapToGrid w:val="0"/>
      <w:rPr>
        <w:rFonts w:ascii="Calibri" w:hAnsi="Calibri"/>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DB3FF">
    <w:pPr>
      <w:snapToGrid w:val="0"/>
      <w:jc w:val="center"/>
      <w:rPr>
        <w:rFonts w:ascii="Calibri" w:hAnsi="Calibri"/>
        <w:sz w:val="18"/>
        <w:szCs w:val="18"/>
      </w:rPr>
    </w:pPr>
    <w:r>
      <w:rPr>
        <w:sz w:val="18"/>
      </w:rPr>
      <w:pict>
        <v:shape id="_x0000_s4105" o:spid="_x0000_s410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1BCEB89">
                <w:pPr>
                  <w:pStyle w:val="9"/>
                </w:pPr>
                <w:r>
                  <w:fldChar w:fldCharType="begin"/>
                </w:r>
                <w:r>
                  <w:instrText xml:space="preserve"> PAGE  \* MERGEFORMAT </w:instrText>
                </w:r>
                <w:r>
                  <w:fldChar w:fldCharType="separate"/>
                </w:r>
                <w:r>
                  <w:t>43</w:t>
                </w:r>
                <w:r>
                  <w:fldChar w:fldCharType="end"/>
                </w:r>
              </w:p>
            </w:txbxContent>
          </v:textbox>
        </v:shape>
      </w:pict>
    </w:r>
  </w:p>
  <w:p w14:paraId="1A36D74D">
    <w:pPr>
      <w:tabs>
        <w:tab w:val="left" w:pos="1129"/>
      </w:tabs>
      <w:snapToGrid w:val="0"/>
      <w:rPr>
        <w:rFonts w:ascii="Calibri" w:hAnsi="Calibri"/>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F3AB8">
    <w:pPr>
      <w:pStyle w:val="54"/>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893E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61D3A">
    <w:pPr>
      <w:pBdr>
        <w:bottom w:val="none" w:color="auto" w:sz="0" w:space="1"/>
      </w:pBdr>
      <w:wordWrap w:val="0"/>
      <w:topLinePunct/>
      <w:spacing w:line="240" w:lineRule="atLeast"/>
      <w:ind w:right="190"/>
      <w:jc w:val="center"/>
      <w:rPr>
        <w:kern w:val="2"/>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B050F">
    <w:pPr>
      <w:tabs>
        <w:tab w:val="center" w:pos="4153"/>
        <w:tab w:val="right" w:pos="8306"/>
      </w:tabs>
      <w:snapToGrid w:val="0"/>
      <w:jc w:val="center"/>
      <w:rPr>
        <w:kern w:val="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36"/>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3"/>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2">
    <w:nsid w:val="DA0D1CF3"/>
    <w:multiLevelType w:val="singleLevel"/>
    <w:tmpl w:val="DA0D1CF3"/>
    <w:lvl w:ilvl="0" w:tentative="0">
      <w:start w:val="2"/>
      <w:numFmt w:val="decimal"/>
      <w:suff w:val="nothing"/>
      <w:lvlText w:val="（%1）"/>
      <w:lvlJc w:val="left"/>
    </w:lvl>
  </w:abstractNum>
  <w:abstractNum w:abstractNumId="3">
    <w:nsid w:val="E3C7209B"/>
    <w:multiLevelType w:val="singleLevel"/>
    <w:tmpl w:val="E3C7209B"/>
    <w:lvl w:ilvl="0" w:tentative="0">
      <w:start w:val="1"/>
      <w:numFmt w:val="decimal"/>
      <w:suff w:val="nothing"/>
      <w:lvlText w:val="%1、"/>
      <w:lvlJc w:val="left"/>
    </w:lvl>
  </w:abstractNum>
  <w:abstractNum w:abstractNumId="4">
    <w:nsid w:val="0248C179"/>
    <w:multiLevelType w:val="multilevel"/>
    <w:tmpl w:val="0248C179"/>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0B78DA67"/>
    <w:multiLevelType w:val="singleLevel"/>
    <w:tmpl w:val="0B78DA67"/>
    <w:lvl w:ilvl="0" w:tentative="0">
      <w:start w:val="6"/>
      <w:numFmt w:val="decimal"/>
      <w:lvlText w:val="(%1)"/>
      <w:lvlJc w:val="left"/>
      <w:pPr>
        <w:tabs>
          <w:tab w:val="left" w:pos="312"/>
        </w:tabs>
      </w:pPr>
    </w:lvl>
  </w:abstractNum>
  <w:abstractNum w:abstractNumId="6">
    <w:nsid w:val="72183CF9"/>
    <w:multiLevelType w:val="multilevel"/>
    <w:tmpl w:val="72183CF9"/>
    <w:lvl w:ilvl="0" w:tentative="0">
      <w:start w:val="1"/>
      <w:numFmt w:val="chineseCounting"/>
      <w:suff w:val="nothing"/>
      <w:lvlText w:val="%1、"/>
      <w:lvlJc w:val="left"/>
      <w:pPr>
        <w:ind w:left="148"/>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2A2A2BA5"/>
    <w:rsid w:val="001B5841"/>
    <w:rsid w:val="001C55E8"/>
    <w:rsid w:val="00202350"/>
    <w:rsid w:val="00416146"/>
    <w:rsid w:val="004726A7"/>
    <w:rsid w:val="00697EB7"/>
    <w:rsid w:val="008A5E1A"/>
    <w:rsid w:val="009604A2"/>
    <w:rsid w:val="00983ED0"/>
    <w:rsid w:val="00B54380"/>
    <w:rsid w:val="00EF23D4"/>
    <w:rsid w:val="014F7101"/>
    <w:rsid w:val="019F0B71"/>
    <w:rsid w:val="01B70775"/>
    <w:rsid w:val="01B97764"/>
    <w:rsid w:val="01D80446"/>
    <w:rsid w:val="020C053B"/>
    <w:rsid w:val="02A10B83"/>
    <w:rsid w:val="035C6DF3"/>
    <w:rsid w:val="036F6B27"/>
    <w:rsid w:val="03BD6877"/>
    <w:rsid w:val="03CF27DA"/>
    <w:rsid w:val="04177352"/>
    <w:rsid w:val="05080FE1"/>
    <w:rsid w:val="05645E6F"/>
    <w:rsid w:val="05E677F8"/>
    <w:rsid w:val="070168AD"/>
    <w:rsid w:val="080C000A"/>
    <w:rsid w:val="08744BDF"/>
    <w:rsid w:val="08E32BEA"/>
    <w:rsid w:val="092E642F"/>
    <w:rsid w:val="093A0FB4"/>
    <w:rsid w:val="093D54E4"/>
    <w:rsid w:val="0A8411A7"/>
    <w:rsid w:val="0B275F39"/>
    <w:rsid w:val="0B423206"/>
    <w:rsid w:val="0B661A76"/>
    <w:rsid w:val="0B792C38"/>
    <w:rsid w:val="0BD03393"/>
    <w:rsid w:val="0C6A1BFF"/>
    <w:rsid w:val="0C9C60AA"/>
    <w:rsid w:val="0D054058"/>
    <w:rsid w:val="0D6531D3"/>
    <w:rsid w:val="0E1E68C5"/>
    <w:rsid w:val="0EA023A2"/>
    <w:rsid w:val="0EDD73BD"/>
    <w:rsid w:val="0EFE083C"/>
    <w:rsid w:val="0F565EB3"/>
    <w:rsid w:val="0F5C29DF"/>
    <w:rsid w:val="110101A8"/>
    <w:rsid w:val="116322B5"/>
    <w:rsid w:val="11C02B5B"/>
    <w:rsid w:val="11F80595"/>
    <w:rsid w:val="12363789"/>
    <w:rsid w:val="12C47099"/>
    <w:rsid w:val="137B10C2"/>
    <w:rsid w:val="13BB4897"/>
    <w:rsid w:val="142D66D1"/>
    <w:rsid w:val="14643D5A"/>
    <w:rsid w:val="14733F9D"/>
    <w:rsid w:val="147D5F1C"/>
    <w:rsid w:val="15964F40"/>
    <w:rsid w:val="15DC0269"/>
    <w:rsid w:val="161769EB"/>
    <w:rsid w:val="162B7395"/>
    <w:rsid w:val="165431D1"/>
    <w:rsid w:val="165C15F6"/>
    <w:rsid w:val="16B25250"/>
    <w:rsid w:val="17A70658"/>
    <w:rsid w:val="17A94665"/>
    <w:rsid w:val="18356139"/>
    <w:rsid w:val="18A6478F"/>
    <w:rsid w:val="194B4755"/>
    <w:rsid w:val="19F54F51"/>
    <w:rsid w:val="1AB7055E"/>
    <w:rsid w:val="1B0F3CEC"/>
    <w:rsid w:val="1B9362D2"/>
    <w:rsid w:val="1BBD01E0"/>
    <w:rsid w:val="1BD636CD"/>
    <w:rsid w:val="1C6B7D29"/>
    <w:rsid w:val="1CEB40A4"/>
    <w:rsid w:val="1CF864FE"/>
    <w:rsid w:val="1D5775BC"/>
    <w:rsid w:val="1DB43361"/>
    <w:rsid w:val="1DFB572F"/>
    <w:rsid w:val="1DFF412F"/>
    <w:rsid w:val="1EA01E32"/>
    <w:rsid w:val="1ED3045A"/>
    <w:rsid w:val="20427645"/>
    <w:rsid w:val="208C549D"/>
    <w:rsid w:val="208D2876"/>
    <w:rsid w:val="20E34258"/>
    <w:rsid w:val="21444369"/>
    <w:rsid w:val="218F3DBE"/>
    <w:rsid w:val="220C3166"/>
    <w:rsid w:val="22535CA8"/>
    <w:rsid w:val="22727627"/>
    <w:rsid w:val="22801217"/>
    <w:rsid w:val="22F42664"/>
    <w:rsid w:val="2329689A"/>
    <w:rsid w:val="233A7989"/>
    <w:rsid w:val="233B65CE"/>
    <w:rsid w:val="24252D20"/>
    <w:rsid w:val="242D23BA"/>
    <w:rsid w:val="248F5DD5"/>
    <w:rsid w:val="24E5285A"/>
    <w:rsid w:val="25097232"/>
    <w:rsid w:val="25470BAE"/>
    <w:rsid w:val="261C491F"/>
    <w:rsid w:val="26562947"/>
    <w:rsid w:val="26DC1ABC"/>
    <w:rsid w:val="271837C3"/>
    <w:rsid w:val="27841B01"/>
    <w:rsid w:val="27CB458D"/>
    <w:rsid w:val="27DB3EDB"/>
    <w:rsid w:val="284976BE"/>
    <w:rsid w:val="28B409B4"/>
    <w:rsid w:val="28B44E58"/>
    <w:rsid w:val="2961371B"/>
    <w:rsid w:val="29B91E48"/>
    <w:rsid w:val="2A2A2BA5"/>
    <w:rsid w:val="2A337372"/>
    <w:rsid w:val="2A8C4FCC"/>
    <w:rsid w:val="2AEB1A7D"/>
    <w:rsid w:val="2AF14141"/>
    <w:rsid w:val="2B0510E8"/>
    <w:rsid w:val="2B0D67ED"/>
    <w:rsid w:val="2BEF4D47"/>
    <w:rsid w:val="2C287F56"/>
    <w:rsid w:val="2CEA2593"/>
    <w:rsid w:val="2CFD444F"/>
    <w:rsid w:val="2D224837"/>
    <w:rsid w:val="2D4E24A9"/>
    <w:rsid w:val="2D571561"/>
    <w:rsid w:val="2D872B3B"/>
    <w:rsid w:val="2D90180E"/>
    <w:rsid w:val="2DD159B3"/>
    <w:rsid w:val="2E0D299D"/>
    <w:rsid w:val="2E62341E"/>
    <w:rsid w:val="2E764B60"/>
    <w:rsid w:val="2E941317"/>
    <w:rsid w:val="2E99332D"/>
    <w:rsid w:val="2EB771D0"/>
    <w:rsid w:val="2F2738CC"/>
    <w:rsid w:val="2F4773E5"/>
    <w:rsid w:val="2FB13750"/>
    <w:rsid w:val="2FE82A21"/>
    <w:rsid w:val="30480BB5"/>
    <w:rsid w:val="30B653D5"/>
    <w:rsid w:val="30E367EB"/>
    <w:rsid w:val="319C292D"/>
    <w:rsid w:val="31A83080"/>
    <w:rsid w:val="32611EB4"/>
    <w:rsid w:val="32C11091"/>
    <w:rsid w:val="32D514AB"/>
    <w:rsid w:val="330A66D8"/>
    <w:rsid w:val="330D77B0"/>
    <w:rsid w:val="34BC5799"/>
    <w:rsid w:val="34EE524E"/>
    <w:rsid w:val="352B64A2"/>
    <w:rsid w:val="356E25A9"/>
    <w:rsid w:val="35727C2D"/>
    <w:rsid w:val="358B752B"/>
    <w:rsid w:val="35987D00"/>
    <w:rsid w:val="35BF23AF"/>
    <w:rsid w:val="35E05F08"/>
    <w:rsid w:val="369F6F40"/>
    <w:rsid w:val="36BA52C2"/>
    <w:rsid w:val="36CA5249"/>
    <w:rsid w:val="36E24BB2"/>
    <w:rsid w:val="37047C96"/>
    <w:rsid w:val="37126B2B"/>
    <w:rsid w:val="3736112E"/>
    <w:rsid w:val="3775257F"/>
    <w:rsid w:val="3788127C"/>
    <w:rsid w:val="37BE4ACD"/>
    <w:rsid w:val="37DE6D34"/>
    <w:rsid w:val="38247607"/>
    <w:rsid w:val="38296952"/>
    <w:rsid w:val="38B61821"/>
    <w:rsid w:val="39FC390F"/>
    <w:rsid w:val="3A856654"/>
    <w:rsid w:val="3AA72A2A"/>
    <w:rsid w:val="3AAD1DE5"/>
    <w:rsid w:val="3B4067EA"/>
    <w:rsid w:val="3BB60B94"/>
    <w:rsid w:val="3C4E2A76"/>
    <w:rsid w:val="3D080A5E"/>
    <w:rsid w:val="3D5B18EE"/>
    <w:rsid w:val="3D741B32"/>
    <w:rsid w:val="3DAA414E"/>
    <w:rsid w:val="3E567850"/>
    <w:rsid w:val="3EA03A5D"/>
    <w:rsid w:val="3EF67997"/>
    <w:rsid w:val="3F381EE7"/>
    <w:rsid w:val="3F553C81"/>
    <w:rsid w:val="3FFD6D84"/>
    <w:rsid w:val="41031A16"/>
    <w:rsid w:val="41285F8B"/>
    <w:rsid w:val="41CA2E2E"/>
    <w:rsid w:val="41D34149"/>
    <w:rsid w:val="42003BB9"/>
    <w:rsid w:val="422869CD"/>
    <w:rsid w:val="42380450"/>
    <w:rsid w:val="42993576"/>
    <w:rsid w:val="42E5528F"/>
    <w:rsid w:val="43004304"/>
    <w:rsid w:val="4323409B"/>
    <w:rsid w:val="43506A05"/>
    <w:rsid w:val="435A7F52"/>
    <w:rsid w:val="436C6603"/>
    <w:rsid w:val="43882D11"/>
    <w:rsid w:val="441D5876"/>
    <w:rsid w:val="44552EAA"/>
    <w:rsid w:val="449C2FA6"/>
    <w:rsid w:val="450643D7"/>
    <w:rsid w:val="45751B9B"/>
    <w:rsid w:val="45833DF4"/>
    <w:rsid w:val="46017D76"/>
    <w:rsid w:val="463C3632"/>
    <w:rsid w:val="466F2435"/>
    <w:rsid w:val="46780E1B"/>
    <w:rsid w:val="47071E40"/>
    <w:rsid w:val="476D64A6"/>
    <w:rsid w:val="47805F96"/>
    <w:rsid w:val="478236BD"/>
    <w:rsid w:val="47B72641"/>
    <w:rsid w:val="47EB1902"/>
    <w:rsid w:val="4833768B"/>
    <w:rsid w:val="48430AD4"/>
    <w:rsid w:val="490527D3"/>
    <w:rsid w:val="4964363D"/>
    <w:rsid w:val="49941F85"/>
    <w:rsid w:val="49E74320"/>
    <w:rsid w:val="4A314103"/>
    <w:rsid w:val="4A6C6EE9"/>
    <w:rsid w:val="4A6D4A0F"/>
    <w:rsid w:val="4AE917B6"/>
    <w:rsid w:val="4B551697"/>
    <w:rsid w:val="4BDB7219"/>
    <w:rsid w:val="4C1C25BD"/>
    <w:rsid w:val="4D705766"/>
    <w:rsid w:val="4E665800"/>
    <w:rsid w:val="4E8D4ACE"/>
    <w:rsid w:val="4E95707A"/>
    <w:rsid w:val="4EA2737D"/>
    <w:rsid w:val="5065500F"/>
    <w:rsid w:val="51583DBE"/>
    <w:rsid w:val="51D941EC"/>
    <w:rsid w:val="51E6456B"/>
    <w:rsid w:val="528066C6"/>
    <w:rsid w:val="52CA413D"/>
    <w:rsid w:val="52F023B2"/>
    <w:rsid w:val="52FB3500"/>
    <w:rsid w:val="531A0872"/>
    <w:rsid w:val="532076DA"/>
    <w:rsid w:val="533D5BF2"/>
    <w:rsid w:val="53B65AF1"/>
    <w:rsid w:val="53D052AB"/>
    <w:rsid w:val="53D738E3"/>
    <w:rsid w:val="545C3613"/>
    <w:rsid w:val="54695A2E"/>
    <w:rsid w:val="5479292E"/>
    <w:rsid w:val="54867672"/>
    <w:rsid w:val="552A4D34"/>
    <w:rsid w:val="568F13E4"/>
    <w:rsid w:val="56920730"/>
    <w:rsid w:val="56945417"/>
    <w:rsid w:val="57660765"/>
    <w:rsid w:val="5783465D"/>
    <w:rsid w:val="57922109"/>
    <w:rsid w:val="57A35B46"/>
    <w:rsid w:val="57B871FC"/>
    <w:rsid w:val="5908019E"/>
    <w:rsid w:val="59322F7A"/>
    <w:rsid w:val="59684F32"/>
    <w:rsid w:val="5B954AC9"/>
    <w:rsid w:val="5BC65B43"/>
    <w:rsid w:val="5C586756"/>
    <w:rsid w:val="5CE3611D"/>
    <w:rsid w:val="5D347D3A"/>
    <w:rsid w:val="5D8007D6"/>
    <w:rsid w:val="5E0A6D81"/>
    <w:rsid w:val="5E7D0EE8"/>
    <w:rsid w:val="5F05644B"/>
    <w:rsid w:val="5F4144FC"/>
    <w:rsid w:val="5F86610F"/>
    <w:rsid w:val="60762418"/>
    <w:rsid w:val="608E43B7"/>
    <w:rsid w:val="60C76D9B"/>
    <w:rsid w:val="60C875BB"/>
    <w:rsid w:val="61053910"/>
    <w:rsid w:val="6110141F"/>
    <w:rsid w:val="623B7D1F"/>
    <w:rsid w:val="62931D28"/>
    <w:rsid w:val="62C50025"/>
    <w:rsid w:val="62E22CB7"/>
    <w:rsid w:val="62EE2739"/>
    <w:rsid w:val="63131F87"/>
    <w:rsid w:val="636A7734"/>
    <w:rsid w:val="639B3297"/>
    <w:rsid w:val="645F23BD"/>
    <w:rsid w:val="648365DA"/>
    <w:rsid w:val="648E080D"/>
    <w:rsid w:val="65826562"/>
    <w:rsid w:val="658E5B0E"/>
    <w:rsid w:val="65B507A1"/>
    <w:rsid w:val="662757E0"/>
    <w:rsid w:val="66476B75"/>
    <w:rsid w:val="66763081"/>
    <w:rsid w:val="66D615C9"/>
    <w:rsid w:val="679E3484"/>
    <w:rsid w:val="67CB74FC"/>
    <w:rsid w:val="68376EA2"/>
    <w:rsid w:val="68584315"/>
    <w:rsid w:val="68AB22AE"/>
    <w:rsid w:val="694D5CE0"/>
    <w:rsid w:val="696A4AE4"/>
    <w:rsid w:val="6A677E6D"/>
    <w:rsid w:val="6A821DC2"/>
    <w:rsid w:val="6A994319"/>
    <w:rsid w:val="6AC93392"/>
    <w:rsid w:val="6C2641E5"/>
    <w:rsid w:val="6C30048E"/>
    <w:rsid w:val="6C3D2805"/>
    <w:rsid w:val="6C5730A1"/>
    <w:rsid w:val="6C982DAE"/>
    <w:rsid w:val="6CC2656C"/>
    <w:rsid w:val="6CDA1A49"/>
    <w:rsid w:val="6D3E42BD"/>
    <w:rsid w:val="6DA73C7A"/>
    <w:rsid w:val="6DAF2C53"/>
    <w:rsid w:val="6DF64569"/>
    <w:rsid w:val="6E343D23"/>
    <w:rsid w:val="6E434EAC"/>
    <w:rsid w:val="6E4E6A3A"/>
    <w:rsid w:val="6EFD2C28"/>
    <w:rsid w:val="6EFE0067"/>
    <w:rsid w:val="70010952"/>
    <w:rsid w:val="705160B5"/>
    <w:rsid w:val="706776C7"/>
    <w:rsid w:val="70924601"/>
    <w:rsid w:val="71CA0847"/>
    <w:rsid w:val="720927D3"/>
    <w:rsid w:val="720B67AA"/>
    <w:rsid w:val="720E0702"/>
    <w:rsid w:val="72D134DE"/>
    <w:rsid w:val="72DB6D6B"/>
    <w:rsid w:val="72F62F44"/>
    <w:rsid w:val="73B662BA"/>
    <w:rsid w:val="7420035A"/>
    <w:rsid w:val="74A32ABF"/>
    <w:rsid w:val="752040F7"/>
    <w:rsid w:val="753C5586"/>
    <w:rsid w:val="75537692"/>
    <w:rsid w:val="75A05289"/>
    <w:rsid w:val="75DD1776"/>
    <w:rsid w:val="76012216"/>
    <w:rsid w:val="76960CC6"/>
    <w:rsid w:val="769B05EB"/>
    <w:rsid w:val="76F15D4B"/>
    <w:rsid w:val="77436BAC"/>
    <w:rsid w:val="77825766"/>
    <w:rsid w:val="77A23300"/>
    <w:rsid w:val="783E7FAA"/>
    <w:rsid w:val="78957A98"/>
    <w:rsid w:val="798848BF"/>
    <w:rsid w:val="79AB72BC"/>
    <w:rsid w:val="79B12A55"/>
    <w:rsid w:val="7A661AE4"/>
    <w:rsid w:val="7A796935"/>
    <w:rsid w:val="7A8F3BA3"/>
    <w:rsid w:val="7BE45931"/>
    <w:rsid w:val="7C143B6A"/>
    <w:rsid w:val="7CB225D2"/>
    <w:rsid w:val="7CBF4F19"/>
    <w:rsid w:val="7CD17DB6"/>
    <w:rsid w:val="7CDC5A4C"/>
    <w:rsid w:val="7D544684"/>
    <w:rsid w:val="7D87580C"/>
    <w:rsid w:val="7DA014F0"/>
    <w:rsid w:val="7E1F6B85"/>
    <w:rsid w:val="7EC95C1D"/>
    <w:rsid w:val="7EDD7D0C"/>
    <w:rsid w:val="7EF01FC7"/>
    <w:rsid w:val="7F7B2EF8"/>
    <w:rsid w:val="7FA8320A"/>
    <w:rsid w:val="7FBA476E"/>
    <w:rsid w:val="7FBD38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4"/>
    <w:next w:val="5"/>
    <w:qFormat/>
    <w:uiPriority w:val="9"/>
    <w:pPr>
      <w:keepNext/>
      <w:widowControl w:val="0"/>
      <w:adjustRightInd w:val="0"/>
      <w:spacing w:line="420" w:lineRule="atLeast"/>
      <w:ind w:firstLine="454"/>
      <w:jc w:val="center"/>
      <w:textAlignment w:val="baseline"/>
      <w:outlineLvl w:val="3"/>
    </w:pPr>
    <w:rPr>
      <w:rFonts w:ascii="Times New Roman" w:hAnsi="Times New Roman" w:eastAsia="宋体" w:cs="Times New Roman"/>
      <w:i/>
      <w:sz w:val="21"/>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rPr>
      <w:sz w:val="24"/>
      <w:szCs w:val="20"/>
    </w:rPr>
  </w:style>
  <w:style w:type="paragraph" w:styleId="6">
    <w:name w:val="Body Text 3"/>
    <w:basedOn w:val="1"/>
    <w:unhideWhenUsed/>
    <w:qFormat/>
    <w:uiPriority w:val="99"/>
    <w:pPr>
      <w:spacing w:after="120"/>
    </w:pPr>
    <w:rPr>
      <w:rFonts w:ascii="宋体" w:hAnsi="宋体"/>
      <w:sz w:val="24"/>
      <w:szCs w:val="20"/>
    </w:rPr>
  </w:style>
  <w:style w:type="paragraph" w:styleId="7">
    <w:name w:val="Body Text"/>
    <w:basedOn w:val="1"/>
    <w:next w:val="1"/>
    <w:unhideWhenUsed/>
    <w:qFormat/>
    <w:uiPriority w:val="99"/>
    <w:pPr>
      <w:spacing w:after="120"/>
    </w:pPr>
    <w:rPr>
      <w:sz w:val="24"/>
      <w:szCs w:val="20"/>
    </w:rPr>
  </w:style>
  <w:style w:type="paragraph" w:styleId="8">
    <w:name w:val="Body Text Indent"/>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Normal (Web)"/>
    <w:basedOn w:val="1"/>
    <w:qFormat/>
    <w:uiPriority w:val="0"/>
    <w:pPr>
      <w:jc w:val="left"/>
    </w:pPr>
    <w:rPr>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style>
  <w:style w:type="character" w:styleId="17">
    <w:name w:val="FollowedHyperlink"/>
    <w:basedOn w:val="15"/>
    <w:qFormat/>
    <w:uiPriority w:val="0"/>
    <w:rPr>
      <w:rFonts w:hint="eastAsia" w:ascii="宋体" w:hAnsi="宋体" w:eastAsia="宋体" w:cs="宋体"/>
      <w:color w:val="333333"/>
      <w:sz w:val="14"/>
      <w:szCs w:val="14"/>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Acronym"/>
    <w:basedOn w:val="15"/>
    <w:qFormat/>
    <w:uiPriority w:val="0"/>
  </w:style>
  <w:style w:type="character" w:styleId="21">
    <w:name w:val="HTML Variable"/>
    <w:basedOn w:val="15"/>
    <w:qFormat/>
    <w:uiPriority w:val="0"/>
  </w:style>
  <w:style w:type="character" w:styleId="22">
    <w:name w:val="HTML Code"/>
    <w:basedOn w:val="15"/>
    <w:qFormat/>
    <w:uiPriority w:val="0"/>
    <w:rPr>
      <w:rFonts w:ascii="Courier New" w:hAnsi="Courier New"/>
      <w:sz w:val="20"/>
    </w:rPr>
  </w:style>
  <w:style w:type="character" w:styleId="23">
    <w:name w:val="HTML Cite"/>
    <w:basedOn w:val="15"/>
    <w:qFormat/>
    <w:uiPriority w:val="0"/>
  </w:style>
  <w:style w:type="character" w:styleId="24">
    <w:name w:val="footnote reference"/>
    <w:qFormat/>
    <w:uiPriority w:val="0"/>
    <w:rPr>
      <w:vertAlign w:val="superscript"/>
    </w:rPr>
  </w:style>
  <w:style w:type="paragraph" w:customStyle="1" w:styleId="25">
    <w:name w:val="普通正文"/>
    <w:qFormat/>
    <w:uiPriority w:val="0"/>
    <w:pPr>
      <w:widowControl w:val="0"/>
      <w:spacing w:before="120" w:after="120" w:line="360" w:lineRule="auto"/>
      <w:ind w:firstLine="480"/>
    </w:pPr>
    <w:rPr>
      <w:rFonts w:ascii="Arial" w:hAnsi="Arial" w:eastAsia="宋体" w:cs="Times New Roman"/>
      <w:sz w:val="24"/>
      <w:szCs w:val="24"/>
      <w:lang w:val="en-US" w:eastAsia="zh-CN" w:bidi="ar-SA"/>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正文空2字"/>
    <w:qFormat/>
    <w:uiPriority w:val="99"/>
    <w:pPr>
      <w:widowControl w:val="0"/>
      <w:spacing w:line="560" w:lineRule="exact"/>
      <w:ind w:firstLine="640"/>
    </w:pPr>
    <w:rPr>
      <w:rFonts w:ascii="仿宋_GB2312" w:hAnsi="仿宋_GB2312" w:eastAsia="仿宋_GB2312" w:cs="仿宋_GB2312"/>
      <w:sz w:val="32"/>
      <w:szCs w:val="32"/>
      <w:lang w:val="zh-TW" w:eastAsia="zh-CN" w:bidi="ar-SA"/>
    </w:rPr>
  </w:style>
  <w:style w:type="paragraph" w:customStyle="1" w:styleId="28">
    <w:name w:val="标题 41"/>
    <w:next w:val="29"/>
    <w:qFormat/>
    <w:uiPriority w:val="0"/>
    <w:pPr>
      <w:keepNext/>
      <w:keepLines/>
      <w:widowControl w:val="0"/>
      <w:spacing w:before="280" w:after="290" w:line="376" w:lineRule="auto"/>
      <w:jc w:val="both"/>
      <w:outlineLvl w:val="3"/>
    </w:pPr>
    <w:rPr>
      <w:rFonts w:ascii="Arial" w:hAnsi="Arial" w:eastAsia="黑体" w:cs="Arial"/>
      <w:b/>
      <w:bCs/>
      <w:sz w:val="28"/>
      <w:szCs w:val="28"/>
      <w:lang w:val="en-US" w:eastAsia="zh-CN" w:bidi="ar-SA"/>
    </w:rPr>
  </w:style>
  <w:style w:type="paragraph" w:customStyle="1" w:styleId="29">
    <w:name w:val="正文缩进1"/>
    <w:qFormat/>
    <w:uiPriority w:val="0"/>
    <w:pPr>
      <w:widowControl w:val="0"/>
      <w:ind w:firstLine="420"/>
      <w:jc w:val="both"/>
    </w:pPr>
    <w:rPr>
      <w:rFonts w:ascii="Times New Roman" w:hAnsi="Times New Roman" w:eastAsia="宋体" w:cs="Times New Roman"/>
      <w:sz w:val="21"/>
      <w:szCs w:val="21"/>
      <w:lang w:val="en-US" w:eastAsia="zh-CN" w:bidi="ar-SA"/>
    </w:rPr>
  </w:style>
  <w:style w:type="paragraph" w:customStyle="1" w:styleId="30">
    <w:name w:val="正文_2"/>
    <w:qFormat/>
    <w:uiPriority w:val="0"/>
    <w:pPr>
      <w:widowControl w:val="0"/>
      <w:jc w:val="both"/>
    </w:pPr>
    <w:rPr>
      <w:rFonts w:ascii="Calibri" w:hAnsi="Calibri" w:eastAsia="宋体" w:cs="Times New Roman"/>
      <w:sz w:val="21"/>
      <w:szCs w:val="22"/>
      <w:lang w:val="en-US" w:eastAsia="zh-CN" w:bidi="ar-SA"/>
    </w:rPr>
  </w:style>
  <w:style w:type="paragraph" w:customStyle="1" w:styleId="31">
    <w:name w:val="标题 1_0"/>
    <w:next w:val="32"/>
    <w:qFormat/>
    <w:uiPriority w:val="9"/>
    <w:pPr>
      <w:keepNext/>
      <w:keepLines/>
      <w:widowControl w:val="0"/>
      <w:spacing w:before="340" w:after="330" w:line="578" w:lineRule="auto"/>
      <w:jc w:val="both"/>
      <w:outlineLvl w:val="0"/>
    </w:pPr>
    <w:rPr>
      <w:rFonts w:ascii="Calibri" w:hAnsi="Calibri" w:eastAsia="Times New Roman" w:cs="Times New Roman"/>
      <w:b/>
      <w:bCs/>
      <w:sz w:val="44"/>
      <w:szCs w:val="44"/>
      <w:lang w:val="en-US" w:eastAsia="zh-CN" w:bidi="ar-SA"/>
    </w:rPr>
  </w:style>
  <w:style w:type="paragraph" w:customStyle="1" w:styleId="32">
    <w:name w:val="正文_16_0_0"/>
    <w:next w:val="33"/>
    <w:qFormat/>
    <w:uiPriority w:val="0"/>
    <w:pPr>
      <w:widowControl w:val="0"/>
      <w:jc w:val="both"/>
    </w:pPr>
    <w:rPr>
      <w:rFonts w:ascii="Calibri" w:hAnsi="Calibri" w:eastAsia="宋体" w:cs="Times New Roman"/>
      <w:sz w:val="21"/>
      <w:szCs w:val="22"/>
      <w:lang w:val="en-US" w:eastAsia="zh-CN" w:bidi="ar-SA"/>
    </w:rPr>
  </w:style>
  <w:style w:type="paragraph" w:customStyle="1" w:styleId="33">
    <w:name w:val="正文1_0"/>
    <w:qFormat/>
    <w:uiPriority w:val="0"/>
    <w:pPr>
      <w:widowControl w:val="0"/>
      <w:jc w:val="both"/>
    </w:pPr>
    <w:rPr>
      <w:rFonts w:ascii="Times New Roman" w:hAnsi="Times New Roman" w:eastAsia="宋体" w:cs="Times New Roman"/>
      <w:szCs w:val="24"/>
      <w:lang w:val="en-US" w:eastAsia="zh-CN" w:bidi="ar-SA"/>
    </w:rPr>
  </w:style>
  <w:style w:type="paragraph" w:customStyle="1" w:styleId="34">
    <w:name w:val="Normal_19"/>
    <w:qFormat/>
    <w:uiPriority w:val="0"/>
    <w:pPr>
      <w:widowControl w:val="0"/>
      <w:jc w:val="both"/>
    </w:pPr>
    <w:rPr>
      <w:rFonts w:ascii="Calibri" w:hAnsi="Calibri" w:eastAsia="宋体" w:cs="Times New Roman"/>
      <w:lang w:val="en-US" w:eastAsia="zh-CN" w:bidi="ar-SA"/>
    </w:rPr>
  </w:style>
  <w:style w:type="paragraph" w:customStyle="1" w:styleId="35">
    <w:name w:val="Normal_21"/>
    <w:qFormat/>
    <w:uiPriority w:val="0"/>
    <w:pPr>
      <w:widowControl w:val="0"/>
      <w:jc w:val="both"/>
    </w:pPr>
    <w:rPr>
      <w:rFonts w:ascii="Calibri" w:hAnsi="Calibri" w:eastAsia="宋体" w:cs="Times New Roman"/>
      <w:lang w:val="en-US" w:eastAsia="zh-CN" w:bidi="ar-SA"/>
    </w:rPr>
  </w:style>
  <w:style w:type="paragraph" w:customStyle="1" w:styleId="36">
    <w:name w:val="正文_19"/>
    <w:next w:val="37"/>
    <w:qFormat/>
    <w:uiPriority w:val="0"/>
    <w:pPr>
      <w:widowControl w:val="0"/>
      <w:jc w:val="both"/>
    </w:pPr>
    <w:rPr>
      <w:rFonts w:ascii="Calibri" w:hAnsi="Calibri" w:eastAsia="宋体" w:cs="Times New Roman"/>
      <w:sz w:val="21"/>
      <w:szCs w:val="22"/>
      <w:lang w:val="en-US" w:eastAsia="zh-CN" w:bidi="ar-SA"/>
    </w:rPr>
  </w:style>
  <w:style w:type="paragraph" w:customStyle="1" w:styleId="37">
    <w:name w:val="首行缩进_0"/>
    <w:qFormat/>
    <w:uiPriority w:val="0"/>
    <w:pPr>
      <w:widowControl w:val="0"/>
      <w:spacing w:line="360" w:lineRule="auto"/>
      <w:ind w:firstLine="480"/>
      <w:jc w:val="both"/>
    </w:pPr>
    <w:rPr>
      <w:rFonts w:ascii="Calibri" w:hAnsi="Calibri" w:eastAsia="宋体" w:cs="Times New Roman"/>
      <w:sz w:val="24"/>
      <w:szCs w:val="22"/>
      <w:lang w:val="en-US" w:eastAsia="zh-CN" w:bidi="ar-SA"/>
    </w:rPr>
  </w:style>
  <w:style w:type="paragraph" w:customStyle="1" w:styleId="38">
    <w:name w:val="普通(网站)1"/>
    <w:qFormat/>
    <w:uiPriority w:val="99"/>
    <w:pPr>
      <w:spacing w:before="100" w:beforeAutospacing="1" w:after="100" w:afterAutospacing="1"/>
    </w:pPr>
    <w:rPr>
      <w:rFonts w:ascii="宋体" w:hAnsi="宋体" w:eastAsia="宋体" w:cs="宋体"/>
      <w:sz w:val="24"/>
      <w:szCs w:val="24"/>
      <w:lang w:val="en-US" w:eastAsia="zh-CN" w:bidi="ar-SA"/>
    </w:rPr>
  </w:style>
  <w:style w:type="paragraph" w:customStyle="1" w:styleId="39">
    <w:name w:val="正文_16"/>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0">
    <w:name w:val="正文_18"/>
    <w:next w:val="41"/>
    <w:qFormat/>
    <w:uiPriority w:val="0"/>
    <w:pPr>
      <w:widowControl w:val="0"/>
      <w:jc w:val="both"/>
    </w:pPr>
    <w:rPr>
      <w:rFonts w:ascii="Calibri" w:hAnsi="Calibri" w:eastAsia="宋体" w:cs="Times New Roman"/>
      <w:sz w:val="21"/>
      <w:szCs w:val="22"/>
      <w:lang w:val="en-US" w:eastAsia="zh-CN" w:bidi="ar-SA"/>
    </w:rPr>
  </w:style>
  <w:style w:type="paragraph" w:customStyle="1" w:styleId="41">
    <w:name w:val="首行缩进"/>
    <w:qFormat/>
    <w:uiPriority w:val="0"/>
    <w:pPr>
      <w:widowControl w:val="0"/>
      <w:spacing w:line="360" w:lineRule="auto"/>
      <w:ind w:firstLine="480"/>
      <w:jc w:val="both"/>
    </w:pPr>
    <w:rPr>
      <w:rFonts w:ascii="Calibri" w:hAnsi="Calibri" w:eastAsia="宋体" w:cs="Times New Roman"/>
      <w:sz w:val="24"/>
      <w:szCs w:val="22"/>
      <w:lang w:val="en-US" w:eastAsia="zh-CN" w:bidi="ar-SA"/>
    </w:rPr>
  </w:style>
  <w:style w:type="paragraph" w:customStyle="1" w:styleId="42">
    <w:name w:val="Normal_1_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3">
    <w:name w:val="Normal_3_0"/>
    <w:qFormat/>
    <w:uiPriority w:val="0"/>
    <w:rPr>
      <w:rFonts w:ascii="黑体" w:hAnsi="黑体" w:eastAsia="黑体" w:cs="Times New Roman"/>
      <w:b/>
      <w:sz w:val="32"/>
      <w:szCs w:val="24"/>
      <w:lang w:val="en-US" w:eastAsia="zh-CN" w:bidi="ar-SA"/>
    </w:rPr>
  </w:style>
  <w:style w:type="paragraph" w:customStyle="1" w:styleId="44">
    <w:name w:val="Normal_4_0"/>
    <w:qFormat/>
    <w:uiPriority w:val="0"/>
    <w:pPr>
      <w:widowControl w:val="0"/>
      <w:jc w:val="both"/>
    </w:pPr>
    <w:rPr>
      <w:rFonts w:ascii="Calibri" w:hAnsi="Calibri" w:eastAsia="宋体" w:cs="Times New Roman"/>
      <w:sz w:val="21"/>
      <w:szCs w:val="22"/>
      <w:lang w:val="en-US" w:eastAsia="zh-CN" w:bidi="ar-SA"/>
    </w:rPr>
  </w:style>
  <w:style w:type="paragraph" w:customStyle="1" w:styleId="45">
    <w:name w:val="正文_1_1_0"/>
    <w:qFormat/>
    <w:uiPriority w:val="0"/>
    <w:pPr>
      <w:widowControl w:val="0"/>
      <w:jc w:val="both"/>
    </w:pPr>
    <w:rPr>
      <w:rFonts w:ascii="Calibri" w:hAnsi="Calibri" w:eastAsia="宋体" w:cs="Times New Roman"/>
      <w:sz w:val="21"/>
      <w:szCs w:val="22"/>
      <w:lang w:val="en-US" w:eastAsia="zh-CN" w:bidi="ar-SA"/>
    </w:rPr>
  </w:style>
  <w:style w:type="paragraph" w:customStyle="1" w:styleId="46">
    <w:name w:val="正文_7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7">
    <w:name w:val="Normal_18_0"/>
    <w:qFormat/>
    <w:uiPriority w:val="0"/>
    <w:rPr>
      <w:rFonts w:ascii="黑体" w:hAnsi="黑体" w:eastAsia="黑体" w:cs="黑体"/>
      <w:b/>
      <w:sz w:val="32"/>
      <w:szCs w:val="24"/>
      <w:lang w:val="en-US" w:eastAsia="zh-CN" w:bidi="ar-SA"/>
    </w:rPr>
  </w:style>
  <w:style w:type="paragraph" w:customStyle="1" w:styleId="48">
    <w:name w:val="正文_12_0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9">
    <w:name w:val="正文_12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0">
    <w:name w:val="正文_14_0"/>
    <w:qFormat/>
    <w:uiPriority w:val="0"/>
    <w:pPr>
      <w:widowControl w:val="0"/>
      <w:jc w:val="both"/>
    </w:pPr>
    <w:rPr>
      <w:rFonts w:ascii="Calibri" w:hAnsi="Calibri" w:eastAsia="宋体" w:cs="Times New Roman"/>
      <w:sz w:val="21"/>
      <w:szCs w:val="22"/>
      <w:lang w:val="en-US" w:eastAsia="zh-CN" w:bidi="ar-SA"/>
    </w:rPr>
  </w:style>
  <w:style w:type="paragraph" w:customStyle="1" w:styleId="51">
    <w:name w:val="正文_14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2">
    <w:name w:val="Normal_20"/>
    <w:qFormat/>
    <w:uiPriority w:val="0"/>
    <w:rPr>
      <w:rFonts w:ascii="黑体" w:hAnsi="黑体" w:eastAsia="黑体" w:cs="黑体"/>
      <w:b/>
      <w:sz w:val="32"/>
      <w:szCs w:val="24"/>
      <w:lang w:val="en-US" w:eastAsia="zh-CN" w:bidi="ar-SA"/>
    </w:rPr>
  </w:style>
  <w:style w:type="paragraph" w:customStyle="1" w:styleId="53">
    <w:name w:val="正文_15_0"/>
    <w:qFormat/>
    <w:uiPriority w:val="0"/>
    <w:pPr>
      <w:widowControl w:val="0"/>
      <w:jc w:val="both"/>
    </w:pPr>
    <w:rPr>
      <w:rFonts w:ascii="Calibri" w:hAnsi="Calibri" w:eastAsia="宋体" w:cs="Times New Roman"/>
      <w:sz w:val="21"/>
      <w:szCs w:val="22"/>
      <w:lang w:val="en-US" w:eastAsia="zh-CN" w:bidi="ar-SA"/>
    </w:rPr>
  </w:style>
  <w:style w:type="paragraph" w:customStyle="1" w:styleId="54">
    <w:name w:val="页眉1"/>
    <w:qFormat/>
    <w:uiPriority w:val="0"/>
    <w:pPr>
      <w:widowControl w:val="0"/>
      <w:pBdr>
        <w:bottom w:val="single" w:color="000000" w:sz="6" w:space="1"/>
      </w:pBdr>
      <w:tabs>
        <w:tab w:val="center" w:pos="4153"/>
        <w:tab w:val="right" w:pos="8306"/>
      </w:tabs>
      <w:jc w:val="center"/>
    </w:pPr>
    <w:rPr>
      <w:rFonts w:ascii="Times New Roman" w:hAnsi="Times New Roman" w:eastAsia="宋体" w:cs="Times New Roman"/>
      <w:sz w:val="18"/>
      <w:szCs w:val="18"/>
      <w:lang w:val="en-US" w:eastAsia="zh-CN" w:bidi="ar-SA"/>
    </w:rPr>
  </w:style>
  <w:style w:type="paragraph" w:customStyle="1" w:styleId="55">
    <w:name w:val="页脚1"/>
    <w:qFormat/>
    <w:uiPriority w:val="0"/>
    <w:pPr>
      <w:widowControl w:val="0"/>
      <w:tabs>
        <w:tab w:val="center" w:pos="4153"/>
        <w:tab w:val="right" w:pos="8306"/>
      </w:tabs>
    </w:pPr>
    <w:rPr>
      <w:rFonts w:ascii="Times New Roman" w:hAnsi="Times New Roman" w:eastAsia="宋体" w:cs="Times New Roman"/>
      <w:sz w:val="18"/>
      <w:szCs w:val="18"/>
      <w:lang w:val="en-US" w:eastAsia="zh-CN" w:bidi="ar-SA"/>
    </w:rPr>
  </w:style>
  <w:style w:type="character" w:customStyle="1" w:styleId="56">
    <w:name w:val="页码1"/>
    <w:qFormat/>
    <w:uiPriority w:val="0"/>
    <w:rPr>
      <w:rFonts w:hint="default" w:ascii="Times New Roman" w:hAnsi="Times New Roman" w:eastAsia="宋体" w:cs="Times New Roman"/>
      <w:sz w:val="21"/>
      <w:szCs w:val="22"/>
      <w:lang w:val="en-US" w:eastAsia="zh-CN" w:bidi="ar-SA"/>
    </w:rPr>
  </w:style>
  <w:style w:type="paragraph" w:customStyle="1" w:styleId="57">
    <w:name w:val="正文_17"/>
    <w:qFormat/>
    <w:uiPriority w:val="0"/>
    <w:pPr>
      <w:widowControl w:val="0"/>
      <w:jc w:val="both"/>
    </w:pPr>
    <w:rPr>
      <w:rFonts w:ascii="Times New Roman" w:hAnsi="Times New Roman" w:eastAsia="宋体" w:cs="Times New Roman"/>
      <w:lang w:val="en-US" w:eastAsia="zh-CN" w:bidi="ar-SA"/>
    </w:rPr>
  </w:style>
  <w:style w:type="paragraph" w:customStyle="1" w:styleId="58">
    <w:name w:val="Table Text"/>
    <w:basedOn w:val="1"/>
    <w:semiHidden/>
    <w:qFormat/>
    <w:uiPriority w:val="0"/>
    <w:rPr>
      <w:rFonts w:ascii="仿宋" w:hAnsi="仿宋" w:eastAsia="仿宋" w:cs="仿宋"/>
      <w:sz w:val="24"/>
      <w:szCs w:val="24"/>
      <w:lang w:eastAsia="en-US"/>
    </w:rPr>
  </w:style>
  <w:style w:type="table" w:customStyle="1" w:styleId="59">
    <w:name w:val="Table Normal"/>
    <w:unhideWhenUsed/>
    <w:qFormat/>
    <w:uiPriority w:val="0"/>
    <w:tblPr>
      <w:tblCellMar>
        <w:top w:w="0" w:type="dxa"/>
        <w:left w:w="0" w:type="dxa"/>
        <w:bottom w:w="0" w:type="dxa"/>
        <w:right w:w="0" w:type="dxa"/>
      </w:tblCellMar>
    </w:tblPr>
  </w:style>
  <w:style w:type="paragraph" w:customStyle="1" w:styleId="60">
    <w:name w:val="正文_9_0"/>
    <w:qFormat/>
    <w:uiPriority w:val="0"/>
    <w:pPr>
      <w:widowControl w:val="0"/>
      <w:jc w:val="both"/>
    </w:pPr>
    <w:rPr>
      <w:rFonts w:ascii="Calibri" w:hAnsi="Calibri" w:eastAsia="宋体" w:cs="Times New Roman"/>
      <w:sz w:val="21"/>
      <w:szCs w:val="22"/>
      <w:lang w:val="en-US" w:eastAsia="zh-CN" w:bidi="ar-SA"/>
    </w:rPr>
  </w:style>
  <w:style w:type="paragraph" w:customStyle="1" w:styleId="61">
    <w:name w:val="正文文本（HA）"/>
    <w:basedOn w:val="7"/>
    <w:qFormat/>
    <w:uiPriority w:val="99"/>
    <w:pPr>
      <w:spacing w:beforeLines="50" w:line="360" w:lineRule="auto"/>
      <w:ind w:firstLine="200" w:firstLineChars="200"/>
    </w:pPr>
    <w:rPr>
      <w:rFonts w:ascii="宋体" w:hAnsi="宋体" w:eastAsiaTheme="minorEastAsia" w:cstheme="minorBidi"/>
      <w:szCs w:val="22"/>
    </w:rPr>
  </w:style>
  <w:style w:type="paragraph" w:customStyle="1" w:styleId="62">
    <w:name w:val="Heading21"/>
    <w:next w:val="1"/>
    <w:qFormat/>
    <w:uiPriority w:val="0"/>
    <w:pPr>
      <w:keepNext/>
      <w:keepLines/>
      <w:widowControl w:val="0"/>
      <w:spacing w:before="260" w:after="260" w:line="413" w:lineRule="auto"/>
      <w:jc w:val="both"/>
    </w:pPr>
    <w:rPr>
      <w:rFonts w:ascii="Arial" w:hAnsi="Arial" w:eastAsia="黑体" w:cs="Times New Roman"/>
      <w:b/>
      <w:sz w:val="32"/>
      <w:szCs w:val="24"/>
      <w:lang w:val="en-US" w:eastAsia="zh-CN" w:bidi="ar-SA"/>
    </w:rPr>
  </w:style>
  <w:style w:type="paragraph" w:customStyle="1" w:styleId="63">
    <w:name w:val="Normal_16"/>
    <w:qFormat/>
    <w:uiPriority w:val="0"/>
    <w:rPr>
      <w:rFonts w:ascii="黑体" w:hAnsi="黑体" w:eastAsia="黑体" w:cs="Times New Roman"/>
      <w:b/>
      <w:sz w:val="32"/>
      <w:szCs w:val="24"/>
      <w:lang w:val="en-US" w:eastAsia="zh-CN" w:bidi="ar-SA"/>
    </w:rPr>
  </w:style>
  <w:style w:type="character" w:customStyle="1" w:styleId="64">
    <w:name w:val="dbrwr_aclir"/>
    <w:basedOn w:val="15"/>
    <w:qFormat/>
    <w:uiPriority w:val="0"/>
    <w:rPr>
      <w:color w:val="999999"/>
    </w:rPr>
  </w:style>
  <w:style w:type="character" w:customStyle="1" w:styleId="65">
    <w:name w:val="fieldsets"/>
    <w:basedOn w:val="15"/>
    <w:qFormat/>
    <w:uiPriority w:val="0"/>
  </w:style>
  <w:style w:type="character" w:customStyle="1" w:styleId="66">
    <w:name w:val="fieldsetf"/>
    <w:basedOn w:val="15"/>
    <w:qFormat/>
    <w:uiPriority w:val="0"/>
  </w:style>
  <w:style w:type="character" w:customStyle="1" w:styleId="67">
    <w:name w:val="searchs"/>
    <w:basedOn w:val="15"/>
    <w:qFormat/>
    <w:uiPriority w:val="0"/>
  </w:style>
  <w:style w:type="character" w:customStyle="1" w:styleId="68">
    <w:name w:val="searchf"/>
    <w:basedOn w:val="15"/>
    <w:qFormat/>
    <w:uiPriority w:val="0"/>
  </w:style>
  <w:style w:type="character" w:customStyle="1" w:styleId="69">
    <w:name w:val="edui-unclickable"/>
    <w:basedOn w:val="15"/>
    <w:qFormat/>
    <w:uiPriority w:val="0"/>
    <w:rPr>
      <w:color w:val="808080"/>
    </w:rPr>
  </w:style>
  <w:style w:type="character" w:customStyle="1" w:styleId="70">
    <w:name w:val="dbrwr_aclil"/>
    <w:basedOn w:val="15"/>
    <w:qFormat/>
    <w:uiPriority w:val="0"/>
  </w:style>
  <w:style w:type="character" w:customStyle="1" w:styleId="71">
    <w:name w:val="l-over"/>
    <w:basedOn w:val="15"/>
    <w:qFormat/>
    <w:uiPriority w:val="0"/>
    <w:rPr>
      <w:bdr w:val="single" w:color="DAB364" w:sz="4" w:space="0"/>
    </w:rPr>
  </w:style>
  <w:style w:type="character" w:customStyle="1" w:styleId="72">
    <w:name w:val="edui-clickable2"/>
    <w:basedOn w:val="15"/>
    <w:qFormat/>
    <w:uiPriority w:val="0"/>
    <w:rPr>
      <w:color w:val="0000FF"/>
      <w:u w:val="single"/>
    </w:rPr>
  </w:style>
  <w:style w:type="character" w:customStyle="1" w:styleId="73">
    <w:name w:val="l-selected2"/>
    <w:basedOn w:val="15"/>
    <w:qFormat/>
    <w:uiPriority w:val="0"/>
    <w:rPr>
      <w:color w:val="355686"/>
      <w:bdr w:val="single" w:color="DAB364" w:sz="4" w:space="0"/>
      <w:shd w:val="clear" w:color="auto" w:fill="FFFFFF"/>
    </w:rPr>
  </w:style>
  <w:style w:type="character" w:customStyle="1" w:styleId="74">
    <w:name w:val="l-open"/>
    <w:basedOn w:val="15"/>
    <w:qFormat/>
    <w:uiPriority w:val="0"/>
  </w:style>
  <w:style w:type="character" w:customStyle="1" w:styleId="75">
    <w:name w:val="ruweitli_l"/>
    <w:basedOn w:val="15"/>
    <w:qFormat/>
    <w:uiPriority w:val="0"/>
  </w:style>
  <w:style w:type="character" w:customStyle="1" w:styleId="76">
    <w:name w:val="ruweitli_r"/>
    <w:basedOn w:val="15"/>
    <w:qFormat/>
    <w:uiPriority w:val="0"/>
  </w:style>
  <w:style w:type="paragraph" w:customStyle="1" w:styleId="77">
    <w:name w:val="_Style 70"/>
    <w:basedOn w:val="1"/>
    <w:next w:val="1"/>
    <w:qFormat/>
    <w:uiPriority w:val="0"/>
    <w:pPr>
      <w:pBdr>
        <w:bottom w:val="single" w:color="auto" w:sz="6" w:space="1"/>
      </w:pBdr>
      <w:jc w:val="center"/>
    </w:pPr>
    <w:rPr>
      <w:rFonts w:ascii="Arial"/>
      <w:vanish/>
      <w:sz w:val="16"/>
    </w:rPr>
  </w:style>
  <w:style w:type="paragraph" w:customStyle="1" w:styleId="78">
    <w:name w:val="_Style 71"/>
    <w:basedOn w:val="1"/>
    <w:next w:val="1"/>
    <w:qFormat/>
    <w:uiPriority w:val="0"/>
    <w:pPr>
      <w:pBdr>
        <w:top w:val="single" w:color="auto" w:sz="6" w:space="1"/>
      </w:pBdr>
      <w:jc w:val="center"/>
    </w:pPr>
    <w:rPr>
      <w:rFonts w:ascii="Arial"/>
      <w:vanish/>
      <w:sz w:val="16"/>
    </w:rPr>
  </w:style>
  <w:style w:type="character" w:customStyle="1" w:styleId="79">
    <w:name w:val="font11"/>
    <w:basedOn w:val="15"/>
    <w:qFormat/>
    <w:uiPriority w:val="0"/>
    <w:rPr>
      <w:rFonts w:hint="eastAsia" w:ascii="宋体" w:hAnsi="宋体" w:eastAsia="宋体" w:cs="宋体"/>
      <w:color w:val="000000"/>
      <w:sz w:val="24"/>
      <w:szCs w:val="24"/>
      <w:u w:val="none"/>
    </w:rPr>
  </w:style>
  <w:style w:type="character" w:customStyle="1" w:styleId="80">
    <w:name w:val="font21"/>
    <w:basedOn w:val="15"/>
    <w:qFormat/>
    <w:uiPriority w:val="0"/>
    <w:rPr>
      <w:rFonts w:hint="eastAsia" w:ascii="宋体" w:hAnsi="宋体" w:eastAsia="宋体" w:cs="宋体"/>
      <w:b/>
      <w:bCs/>
      <w:color w:val="FF0000"/>
      <w:sz w:val="24"/>
      <w:szCs w:val="24"/>
      <w:u w:val="none"/>
    </w:rPr>
  </w:style>
  <w:style w:type="character" w:customStyle="1" w:styleId="81">
    <w:name w:val="font31"/>
    <w:basedOn w:val="15"/>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102" textRotate="1"/>
    <customShpInfo spid="_x0000_s4103" textRotate="1"/>
    <customShpInfo spid="_x0000_s4104" textRotate="1"/>
    <customShpInfo spid="_x0000_s410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22243</Words>
  <Characters>23926</Characters>
  <Lines>408</Lines>
  <Paragraphs>115</Paragraphs>
  <TotalTime>13</TotalTime>
  <ScaleCrop>false</ScaleCrop>
  <LinksUpToDate>false</LinksUpToDate>
  <CharactersWithSpaces>24510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2025-06-05T01:29:00Z</dcterms:created>
  <dc:creator>1</dc:creator>
  <cp:lastModifiedBy>1</cp:lastModifiedBy>
  <dcterms:modified xsi:type="dcterms:W3CDTF">2025-09-05T08:37:41Z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209C48EEC6504F3DB75AE31AA1E89F26_13</vt:lpwstr>
  </property>
  <property fmtid="{D5CDD505-2E9C-101B-9397-08002B2CF9AE}" pid="4" name="KSOTemplateDocerSaveRecord">
    <vt:lpwstr>eyJoZGlkIjoiN2YzNjBkOTgyNWQ1YTMxYzM3MzMwNWFiODNmOWIzYWMiLCJ1c2VySWQiOiIxMDgwODA0OTUwIn0=</vt:lpwstr>
  </property>
</Properties>
</file>